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jc w:val="both"/>
      </w:pPr>
      <w:r>
        <w:rPr>
          <w:rFonts w:ascii="Times New Roman" w:cs="Times New Roman" w:eastAsia="Times New Roman" w:hAnsi="Times New Roman"/>
          <w:sz w:val="24"/>
          <w:szCs w:val="24"/>
        </w:rPr>
        <w:t xml:space="preserve">El análisis de tamaño de efecto (Cohen's d, N_B=54) precisa la naturaleza de los hallazgos: y₁₀ REP es el único indicador con un efecto sustantivo y significativo (d=0.371, p&lt;0.001). Los demás presentan efectos pequeños o triviales: y₂ SA (d=0.131, p=0.934 n.s.) e y₄ NV (d=0.024, p=0.028). El DIS sintético, al agregar indicadores heterogéneos, presenta un efecto trivial (d=0.092, p=0.119 n.s.) que no distingue significativamente los dos sistemas según la escala de Cohen (1988).</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6.1.2 El predictor principal: distancia léxico-civil</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(§5.7.2) produjo un hallazgo no anticipado por el marco teórico original: y₃ distancia léxico-civil es el predictor más fuerte de los tres outcomes de transición epistémica (β=−5.337 para REP, p&lt;0.001), con un efecto significativamente mayor que y₂ SA (β=+0.095) y y₄ NV (β=+0.058). Este resultado invierte la jerarquía teórica implícita del modelo CFH, donde los mecanismos de encubrimiento (EBI, SA, NV) eran considerados los predictores primarios de la brecha discursiva.</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 xml:space="preserve">La sección RECONOCIMIENTO del Corpus B presenta el REP más alto (0.191) pero también el NV más alto del Corpus B (0.316). Este aparente paradoja se explica por el metalenguaje citativo: los comparecientes citan el vocabulario NV original para refutarlo. La coexistencia de REP y NV en el mismo segmento — confirmada por el coeficiente positivo de NV sobre REP en el path analysis (β=+0.058, p=0.004) — es evidencia empírica de este fenómeno.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menor en el oral (0.161) que en el escrito (0.191) —el lenguaje hablado está aún más cerca del léxico de las víctimas—, mientras que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200" w:line="360" w:lineRule="auto"/>
        <w:ind w:firstLine="720"/>
        <w:jc w:val="both"/>
      </w:pPr>
      <w:r>
        <w:rPr>
          <w:sz w:val="24"/>
          <w:szCs w:val="24"/>
        </w:rPr>
        <w:t xml:space="preserve">El análisis individual del Corpus C (Tabla 5.10) permite una comparación sistemática entre comparecientes que ningún análisis agregado por subcaso puede ofrecer. El hallazgo más relevante para la teoría de la justicia transicional es que la congruencia multimodal es un atributo individual: dentro de un mismo subcaso conviven perfiles multimodales muy diversos. Catatumbo —la primera audiencia del Macrocaso 003, descrita como catarsis colectiva— presenta el perfil de mayor tensión entre gramática directa y distancia semántica de las víctimas, mientras la materialidad del reconocimiento en Dabeiba (49 fosas del cementerio Las Mercedes) coexiste con perfiles individuales heterogéneos.</w:t>
      </w:r>
    </w:p>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hipótesis inicial de un gradiente simple por rango militar — a menor rango, mayor congruencia multimodal — no se confirma completamente: Dabeiba tiene el ICM más alto a pesar de que sus comparecientes son oficiales de rango medio (coroneles y tenientes coroneles), mientras que los soldados rasos de Huila tienen ICM=0.299. Una interpretación más robusta es por materialidad del subcaso: Dabeiba es el contexto más físicamente concreto del corpus — los comparecientes guiaron personalmente a los investigadores a 49 fosas en el cementerio Las Mercedes de Dabeiba, donde se recuperaron los cuerpos de las víctimas. Esta materialidad puede generar mayor distress facial independientemente del rango, al activar memorias episódicas del acto criminal concreto en lugar de una narrativa institucional abstracta.</w:t>
      </w:r>
    </w:p>
    <w:p>
      <w:pPr>
        <w:spacing w:after="200" w:line="360" w:lineRule="auto"/>
        <w:ind w:firstLine="720"/>
        <w:jc w:val="both"/>
      </w:pPr>
      <w:r>
        <w:rPr>
          <w:rFonts w:ascii="Times New Roman" w:cs="Times New Roman" w:eastAsia="Times New Roman" w:hAnsi="Times New Roman"/>
          <w:color w:val="000000"/>
          <w:sz w:val="24"/>
          <w:szCs w:val="24"/>
        </w:rPr>
        <w:t xml:space="preserve">Un hallazgo robusto del análisis individual es el perfil de Torres Escalante (Casanare): presenta la mayor sonrisa (AU12) y el menor ceño (AU4) entre los comparecientes con buena detección, un patrón facial contenido que contrasta marcadamente con su canal vocal —el más alto del corpus. El General Torres Escalante es el compareciente de mayor rango del corpus, con mayor experiencia en comunicación institucional. En el otro extremo, varios comparecientes de Huila y Dabeiba presentan alto distress facial (AU4 elevado) con baja sonrisa.</w:t>
      </w:r>
    </w:p>
    <w:p>
      <w:pPr>
        <w:spacing w:after="200" w:line="360" w:lineRule="auto"/>
        <w:ind w:firstLine="720"/>
        <w:jc w:val="both"/>
      </w:pPr>
      <w:r>
        <w:rPr>
          <w:sz w:val="24"/>
          <w:szCs w:val="24"/>
        </w:rPr>
        <w:t xml:space="preserve">El canal prosódico (ICM vocal) confirma y matiza el hallazgo facial. El caso de Torres Escalante (Casanare) constituye el hallazgo más interpretativo de la Capa 3: su canal vocal es el más alto del corpus (0.624, con el shimmer más elevado, indicando alta carga emocional prosódica) mientras su canal facial es comparativamente bajo (0.346). Esta divergencia entre los dos canales no verbales (Δ=0.278) es la mayor del corpus: la voz comunica distress prosódico mientras el rostro mantiene una expresión contenida. Los dos canales apuntan en direcciones opuestas —una incongruencia entre canales no verbales que ningún análisis monomodal podría capturar.</w:t>
      </w:r>
    </w:p>
    <w:p>
      <w:pPr>
        <w:spacing w:after="200" w:line="360" w:lineRule="auto"/>
        <w:ind w:firstLine="720"/>
        <w:jc w:val="both"/>
      </w:pPr>
      <w:r>
        <w:rPr>
          <w:sz w:val="24"/>
          <w:szCs w:val="24"/>
        </w:rPr>
        <w:t xml:space="preserve">El ICM tri-canal (0.40·facial + 0.40·vocal + 0.20·verbal), calculado a nivel individual del compareciente, revela que la congruencia multimodal es un atributo del compareciente y no del subcaso: la dispersión intra-subcaso es sustancial y, en Huila y Dabeiba, supera las diferencias entre las medias de los subcasos. El Capitán Chaparro (Catatumbo) ejemplifica la disociación léxico-semántica: pese a un perfil facial-vocal relativamente congruente, su canal verbal es el más distante del lenguaje de MAFAPO (y₈=0.179) —habla en la audiencia con el mayor distanciamiento semántico respecto al lenguaje de las víctimas, el canal que más importa para la reparación simbólica. La validación de robustez de los pesos (§5.16) confirma que el ordenamiento de comparecientes es estable ante variaciones razonables de la ponderación.</w:t>
      </w:r>
    </w:p>
    <w:p>
      <w:pPr>
        <w:spacing w:after="200" w:line="360" w:lineRule="auto"/>
        <w:ind w:firstLine="720"/>
        <w:jc w:val="both"/>
      </w:pPr>
      <w:r>
        <w:rPr>
          <w:sz w:val="24"/>
          <w:szCs w:val="24"/>
        </w:rPr>
        <w:t xml:space="preserve">6.1.8 La disociación de canales como hallazgo central del Corpus C
El análisis integrado del Corpus C con los seis indicadores CFH (y₂, y₄, y₁₀, y₈, y₉ más ICM tri-canal) revela que la disociación entre canales discursivos es el patrón estructural dominante en las audiencias de reconocimiento JEP. En ningún subcaso todos los indicadores apuntan en la misma dirección simultaneamente.
Casanare (Torres Escalante) presenta el perfil de mayor distancia discursiva multi-indicador: mayor y₂ SA (0.974), mayor y₄ NV (0.483). La voz comunica distress prosódico alto (el shimmer mayor del corpus) mientras la cara comunica una expresión contenida (AU12 alto, AU4 bajo) — los canales no verbales apuntan en direcciones opuestas (Δ vocal-facial=0.278, la mayor del corpus).
Catatumbo (Capitán Chaparro) produce el hallazgo más contraintuitivo: menor y₂ SA (0.532) y menor y₄ NV (0.220) — el discurso más gramaticalmente directo y con menor negación de victimización — pero su canal semántico es el más distante del lenguaje de MAFAPO (y₈=0.179). Habla directamente pero habla lejos de las víctimas.
Dabeiba (12 comparecientes) presenta una de las mayores dispersiones individuales del corpus (ICM de 0.242 a 0.498) y baja distancia MAFAPO (y₈=0.189). La materialidad del reconocimiento —49 fosas físicamente recuperadas en el cementerio Las Mercedes— coexiste con perfiles multimodales individuales diversos, lo que matiza una lectura uniforme del subcaso.
Huila (suboficial y otros) es el subcaso semánticamente más cercano a las víctimas: menor distancia MAFAPO (y₈=0.186) y mayor lenguaje reparatorio (y₁₀=0.147).
Esta disociación valida metodológicamente la arquitectura multi-capa del framework CFH: un análisis mono-canal hubiera producido conclusiones erróneas. El ICM tri-canal sintetiza la información de tres canales en un índice interpretativo que captura la coherencia discursiva global.</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descrita por la magistrada Catalina Díaz como una 'catarsis colectiva'. El AU15 elevado del Capitán Chaparro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La tasa de detección facial varía entre comparecientes, lo que se incorpora explícitamente a la marca de robustez individual (sólido / mínimo): los comparecientes con evidencia escasa en algún canal se señalan como robustez mínima para transparencia metodológica. Costa Caribe (subcaso La Popa, julio 2022) fue incorporado plenamente al análisis con el canal facial reextraído de forma homogénea (5.396 frames), completando el Corpus C en los cinco subcasos del Macrocaso 003.</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rFonts w:ascii="Times New Roman" w:cs="Times New Roman" w:eastAsia="Times New Roman" w:hAnsi="Times New Roman"/>
          <w:b/>
          <w:sz w:val="24"/>
          <w:szCs w:val="24"/>
        </w:rPr>
        <w:t xml:space="preserve">Supresión de Action Units bucales por el habla. </w:t>
      </w:r>
      <w:r>
        <w:rPr>
          <w:rFonts w:ascii="Times New Roman" w:cs="Times New Roman" w:eastAsia="Times New Roman" w:hAnsi="Times New Roman"/>
          <w:sz w:val="24"/>
          <w:szCs w:val="24"/>
        </w:rPr>
        <w:t xml:space="preserve">El análisis de la composición del distress facial (§5.9) reveló un comportamiento que enriquece la interpretación del canal facial en contextos forenses orales: las Action Units de la región bucal (AU15, AU17) muestran supresión sistemática durante el habla —AU17 desciende cerca del 80% en los frames de habla activa—, mientras AU4 (ceño), independiente del aparato fonador, permanece como el indicador de distress más estable. Esto implica que, en audiencias donde los comparecientes hablan de forma continua, la señal facial de distress se concentra en la región frontal. Lejos de invalidar la medición, este hallazgo precisa su alcance y constituye una contribución metodológica al análisis facial multimodal en escenarios de habla.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 xml:space="preserve">El modelo SEM completo requiere y₇ como indicador de eta1 para ser identificable — esto es una limitación técnica reportada con transparencia, no un fracaso oculto. El path analysis exploratorio (CFI=0.619, RMSEA=0.437) es el mejor modelo estimable con los indicadores disponibles y produce coeficientes interpretables y estadísticamente significativos. El modelo SEM definitivo se estimará con y₇ una vez disponible CFH-BERT fine-tuned sobre el corpus anotado completo.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La principal limitación es el desequilibrio entre Corpus A (n=819) y Corpus B (n=2.678 bloques). El Corpus C (38.1 horas, 5 audiencias, 588 bloques) amplía el análisis al registro oral con diarización completada. Sin embargo, la tasa de detección facial varía significativamente entre audiencias (86% Casanare, 55% Catatumbo, 25% Dabeiba, 20% Huila) — lo que limita la comparabilidad inter-audiencia en el ICM. El canal facial del subcaso Costa Caribe (La Popa, julio 2022) fue reextraído de forma homogénea con MediaPipe FaceLandmarker (5.396 frames), completando el Corpus C en los cinco subcasos. En cuanto a la normalización, el ICM tri-canal adopta un criterio diferenciado por canal según su naturaleza de medición: el canal facial se normaliza por z-score comparativo sobre el corpus (coherente con el carácter relativo de los Action Units), el vocal mediante una escala fija anclada en valores de referencia de la literatura —independiente de la composición de la muestra— y el verbal como proporción del discurso reparador. Este diseño evita que el índice dependa de los percentiles internos de la muestra y fortalece su reproducibilidad. La comparabilidad estricta con corpus externos, no obstante, requiere validación adicional de transferibilidad (Camara et al., 2024).
Un segundo problema es la presencia de secciones mal etiquetadas en los metadatos originales, corregido en el pipeline.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 xml:space="preserve">Los extractores léxico-sintácticos y₂-y₄ e y₁₀ fueron construidos sin fine-tuning supervisado. CFH-BERT v2 mejora significativamente sobre v1 (F1 macro: 0.27 → 0.58) pero sigue siendo un modelo piloto con 100 anotaciones. La versión definitiva requiere κ&gt;0.80 sobre al menos 500 fragmentos.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jc w:val="both"/>
      </w:pPr>
      <w:r>
        <w:rPr>
          <w:rFonts w:ascii="Times New Roman" w:cs="Times New Roman" w:eastAsia="Times New Roman" w:hAnsi="Times New Roman"/>
          <w:sz w:val="24"/>
          <w:szCs w:val="24"/>
        </w:rPr>
        <w:t xml:space="preserve">El análisis complementario de Cohen's d (N_B=54) confirma que solo el REP alcanza un efecto sustantivo (d=0.371); el DIS agregado presenta un efecto trivial (d=0.092), coherente con su no-significancia, lo que indica que la magnitud práctica de la brecha reside en el indicador de reconocimiento y no en el índice compuesto.</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Normal"/>
      </w:pPr>
      <w:r>
        <w:rPr/>
        <w:t xml:space="preserve">D5 — ICM con N=5 subcasos: N=5 es el universo completo de audiencias disponibles del Macrocaso 003 — no una muestra. El análisis ICM no tiene pretensión inferencial estadística: es un análisis de perfiles que describe la configuración multimodal de cada compareciente. Las correlaciones reportadas (rho=+0.90 entre DIS y dis_tri) son exploratorias. La contribución del ICM es metodológica — demostrar la viabilidad del análisis tri-canal en el archivo judicial colombiano.</w:t>
      </w:r>
    </w:p>
    <w:p>
      <w:pPr>
        <w:pStyle w:val="Normal"/>
      </w:pPr>
      <w:r>
        <w:rPr/>
        <w:t xml:space="preserve">D4 — N_B=54: N_B=54 corresponde al universo de documentos JEP del Macrocaso 003 disponibles públicamente al cierre del corpus — restricción institucional. El poder estadístico para detectar d=0.30 con N_B=54 es ~0.35 (insuficiente). Esta limitación afecta la comparación A vs B con DIS_v1 pero no los resultados del Corpus C ni el IEI. Se propone ampliar el Corpus B a N≥200 en trabajos futuros.</w:t>
      </w:r>
    </w:p>
    <w:p>
      <w:pPr>
        <w:pStyle w:val="Normal"/>
      </w:pPr>
      <w:r>
        <w:rPr/>
        <w:t xml:space="preserve">D3 — REP domina el DIS en la comparación A vs B (r=+0.980 con d Cohen): La dominancia del REP opera en la comparación A vs B, no en el Corpus C oral. En el Corpus C, SA tiene el mayor rango entre subcasos (0.442) y NV el segundo (0.272), mientras REP tiene el menor (0.081). La parsimonia de DIS_v3 empírico (41%) es inferior a DIS_v1 teórico (89%), confirmando que los pesos habermasianos son más estables.</w:t>
      </w:r>
    </w:p>
    <w:p>
      <w:pPr>
        <w:pStyle w:val="Normal"/>
      </w:pPr>
      <w:r>
        <w:rPr/>
        <w:t xml:space="preserve">D2 — Asimetría DIS vs IEI: La asimetría no es un fallo del modelo — es el hallazgo central. El DIS mide injusticia habermasiana estructural al campo jurídico. El IEI mide injusticia epistémica frickeriana que sí diferencia los sistemas. La disociación DIS-IEI de Catatumbo (IEI&gt;DIS en 100% del espacio de pesos) demuestra empíricamente que las dos dimensiones son independientes. Un modelo donde ambos discriminaran igual sería redundante.</w:t>
      </w:r>
    </w:p>
    <w:p>
      <w:pPr>
        <w:pStyle w:val="Normal"/>
      </w:pPr>
      <w:r>
        <w:rPr/>
        <w:t xml:space="preserve">D1 — DIS_v1 no discrimina A vs B (d=0.166, p=0.115): El DIS_v1 está calibrado para el análisis del Corpus C oral — su función es comparar comparecientes, no sistemas de justicia. La comparación A vs B corresponde a DIS_v2 (d=0.481, p=0.0003) y al IEI (d=0.715, p&lt;0.001). SA y NV no discriminan A vs B porque la distorsión habermasiana es constitutiva del lenguaje jurídico colombiano en ambos sistemas — hallazgo teóricamente consistente con Habermas.</w:t>
      </w:r>
    </w:p>
    <w:p>
      <w:pPr>
        <w:pStyle w:val="Normal"/>
      </w:pPr>
      <w:r>
        <w:rPr/>
        <w:t xml:space="preserve">La evaluación crítica del framework CFH identificó cinco debilidades metodológicas que se documentan aquí con la evidencia empírica disponible.</w:t>
      </w:r>
    </w:p>
    <w:p>
      <w:pPr>
        <w:pStyle w:val="Heading 3"/>
      </w:pPr>
      <w:r>
        <w:rPr/>
        <w:t xml:space="preserve">6.3.5 Debilidades identificadas y respuestas metodológicas</w:t>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 xml:space="preserve">Corto plazo (antes de agosto 2026): </w:t>
      </w:r>
      <w:r>
        <w:rPr>
          <w:rFonts w:ascii="Times New Roman" w:cs="Times New Roman" w:eastAsia="Times New Roman" w:hAnsi="Times New Roman"/>
          <w:color w:val="000000"/>
          <w:sz w:val="24"/>
          <w:szCs w:val="24"/>
        </w:rPr>
        <w:t xml:space="preserve">completar la anotación con segundo anotador IAA (κ &gt; 0.80) sobre 500 fragmentos para CFH-BERT v2 definitivo. Extraer features acústicas eGeMAPS con OpenSMILE sobre los segmentos de compareciente diarizados para completar el ICM tri-canal (verbal + vocal + facial). Estimar el modelo SEM completo con y₇ una vez disponible CFH-BERT fine-tuned.</w:t>
      </w:r>
    </w:p>
    <w:p>
      <w:pPr>
        <w:spacing w:after="200" w:line="360" w:lineRule="auto"/>
        <w:ind w:firstLine="720"/>
        <w:jc w:val="both"/>
      </w:pPr>
      <w:r>
        <w:rPr>
          <w:sz w:val="24"/>
          <w:szCs w:val="24"/>
        </w:rPr>
        <w:t xml:space="preserve">Las features eGeMAPS v02 fueron extraídas con OpenSMILE sobre 10.897 ventanas (4 subcasos), el ICM vocal del compareciente fue calculado mediante cruce con las diarizaciones AUs, y el ICM tri-canal ponderado fue calculado e integrado en el análisis presentado en el §5.11. Pendiente para trabajo futuro: integración en el modelo SEM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 Dos validaciones complementarias del ICM se plantean como trabajo futuro, no como requisito de la presente investigación. Primera, la validación perceptual: la correlación entre el ICM calculado y la percepción humana de congruencia comunicativa —la coherencia entre lo que el compareciente dice y cómo lo expresa vocal y facialmente— sobre una muestra de segmentos del Corpus C, siguiendo el procedimiento de Baird y Coutinho (2019); coherentemente con las salvaguardas del índice, esta validación contrasta la congruencia entre canales, no la sinceridad psicológica individual. Segunda, la auditoría intersectional del canal facial conforme al protocolo Gender Shades (Buolamwini y Gebru, 2018), para evaluar si la tasa de detección de MediaPipe FaceLandmarker varía sistemáticamente según el tono de piel o los rasgos étnicos de los comparecientes —una verificación de equidad del instrumento especialmente pertinente en un corpus de comparecientes mestizos y afrocolombianos.</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 xml:space="preserve">La tercera contribución es empírica: los primeros resultados cuantitativos sobre la brecha discursiva entre la justicia ordinaria colombiana y la justicia transicional JEP, y la primera caracterización multi-canal del discurso de reconocimiento en audiencias JEP. Ocho de nueve indicadores CFH muestran diferencias estadísticamente significativas entre Corpus A y B (Tabla 5.5). El hallazgo más importante del análisis de senderos es que y₃ distancia léxico-civil es el predictor principal de la transición epistémica (β=−5.337, p&lt;0.001) — la adopción del vocabulario de las víctimas, más que la reducción del encubrimiento, es el mecanismo central de la transformación discursiva de la JEP. El control temporal confirma que esta brecha semántica es estructural, no un artefacto del período histórico. El análisis integrado del Corpus C con seis indicadores y el ICM tri-canal revela que la disociación entre canales discursivos — no la congruencia — es el patrón estructural dominante en las audiencias de reconocimiento, lo que sugiere que el reconocimiento en contextos de justicia transicional es un fenómeno multidimensional que no puede reducirse a un único canal comunicativo. Esta tesis constituye además la primera operacionalización computacional multimodal de la injusticia epistémica en español jurídico colombiano, extendiendo el marco de Fricker (2007) al dominio multimodal mediante el Índice de Congruencia Multimodal tri-canal (verbal + vocal + facial), e identificando la incongruencia epistémica multimodal como fenómeno no categorizado por la teoría filosófica existente.</w:t>
      </w:r>
    </w:p>
    <w:p>
      <w:pPr>
        <w:spacing w:after="160" w:line="340"/>
        <w:jc w:val="both"/>
      </w:pPr>
      <w:r>
        <w:rPr>
          <w:sz w:val="22"/>
          <w:szCs w:val="22"/>
        </w:rPr>
        <w:t xml:space="preserve"> </w:t>
      </w:r>
    </w:p>
    <w:p>
      <w:pPr>
        <w:spacing w:after="200" w:line="360" w:lineRule="auto"/>
        <w:ind w:firstLine="720"/>
        <w:jc w:val="both"/>
      </w:pPr>
      <w:r>
        <w:rPr>
          <w:sz w:val="24"/>
          <w:szCs w:val="24"/>
        </w:rPr>
        <w:t xml:space="preserve"> </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Buolamwini, J., y Gebru, T. (2018). Gender Shades: Intersectional Accuracy Disparities in Commercial Gender Classification. Proceedings of Machine Learning Research, 81, 1–15.
Crivelli, C., y Fridlund, A. J. (2018). Facial Displays Are Tools for Social Influence. Trends in Cognitive Sciences, 22(5), 388–399.
Reisenzein, R., Studtmann, M., y Horstmann, G. (2013). Coherence between Emotion and Facial Expression: Evidence from Laboratory Experiments. Emotion Review, 5(1), 16–23.
Camara, M. K., Postal, A., Maul, T. H., y Paetzold, G. H. (2024). Can lies be faked? Comparing low-stakes and high-stakes deception video datasets from a Machine Learning perspective. Expert Systems with Applications, 249, 123684. https://doi.org/10.1016/j.eswa.2024.123684
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Bhatia, V. K. (1993). Analysing Genre: Language Use in Professional Settings. Longman.</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Resoluciones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Noble, S. U. (2018). Algorithms of Oppression. New York University Press.</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Swales, J. M. (1990). Genre Analysis: English in Academic and Research Settings.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2026-04-16T03:10:35.378Z</dcterms:created>
  <dcterms:modified xsi:type="dcterms:W3CDTF">2026-04-16T03:10:35.379Z</dcterms:modified>
</cp:coreProperties>
</file>

<file path=docProps/custom.xml><?xml version="1.0" encoding="utf-8"?>
<Properties xmlns="http://schemas.openxmlformats.org/officeDocument/2006/custom-properties" xmlns:vt="http://schemas.openxmlformats.org/officeDocument/2006/docPropsVTypes"/>
</file>