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4DA47" w14:textId="406F51B7" w:rsidR="00AF39F1" w:rsidRDefault="00000000">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Análisis Integral de las </w:t>
      </w:r>
      <w:r w:rsidR="00390155">
        <w:rPr>
          <w:rFonts w:ascii="Google Sans" w:eastAsia="Google Sans" w:hAnsi="Google Sans" w:cs="Google Sans"/>
          <w:color w:val="1F1F1F"/>
        </w:rPr>
        <w:t xml:space="preserve">arquitecturas mamba y </w:t>
      </w:r>
      <w:proofErr w:type="spellStart"/>
      <w:r w:rsidR="00390155">
        <w:rPr>
          <w:rFonts w:ascii="Google Sans" w:eastAsia="Google Sans" w:hAnsi="Google Sans" w:cs="Google Sans"/>
          <w:color w:val="1F1F1F"/>
        </w:rPr>
        <w:t>Transformer</w:t>
      </w:r>
      <w:proofErr w:type="spellEnd"/>
      <w:r w:rsidR="00390155">
        <w:rPr>
          <w:rFonts w:ascii="Google Sans" w:eastAsia="Google Sans" w:hAnsi="Google Sans" w:cs="Google Sans"/>
          <w:color w:val="1F1F1F"/>
        </w:rPr>
        <w:t xml:space="preserve"> en la evaluación multimodal del arrepentimiento judicial: perspectivas computacionales, forenses y de derecho comparado</w:t>
      </w:r>
    </w:p>
    <w:p w14:paraId="6146C489"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El advenimiento de la inteligencia artificial multimodal ha inaugurado una nueva era en la intersección entre la computación de alto rendimiento, la psicología forense y la dogmática jurídica. La ambición de procesar un corpus masivo de grabaciones audiovisuales —específicamente la ingesta y el análisis conductual de 600 videos de audiencias judiciales, cada uno con una duración aproximada de cuatro horas, lo que totaliza 2,400 horas de metraje continuado— plantea un desafío tecnológico y hermenéutico sin precedentes. La finalidad de esta empresa analítica es la identificación fehaciente de la presencia o ausencia de arrepentimiento genuino en los sujetos procesales, una determinación que acarrea consecuencias directas sobre la individualización de la pena, la concesión de beneficios penitenciarios y la apreciación de circunstancias atenuantes. Para abordar este problema, es imperativo realizar una disección exhaustiva del estado del arte algorítmico, contrastando las arquitecturas fundacionales basadas en Transformers con los emergentes Modelos de Espacio de Estados (</w:t>
      </w:r>
      <w:proofErr w:type="spellStart"/>
      <w:r>
        <w:rPr>
          <w:rFonts w:ascii="Google Sans" w:eastAsia="Google Sans" w:hAnsi="Google Sans" w:cs="Google Sans"/>
          <w:color w:val="1F1F1F"/>
        </w:rPr>
        <w:t>State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Space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Models</w:t>
      </w:r>
      <w:proofErr w:type="spellEnd"/>
      <w:r>
        <w:rPr>
          <w:rFonts w:ascii="Google Sans" w:eastAsia="Google Sans" w:hAnsi="Google Sans" w:cs="Google Sans"/>
          <w:color w:val="1F1F1F"/>
        </w:rPr>
        <w:t xml:space="preserve"> o SSM), cuya máxima expresión contemporánea es la familia de modelos Mamba y sus variantes híbridas. Simultáneamente, la viabilidad de la implementación de tales sistemas analíticos en cortes de justicia exige un escrutinio profundo desde la perspectiva del derecho comparado, evaluando la admisibilidad de la evidencia algorítmica y el respeto a las garantías constitucionales.</w:t>
      </w:r>
    </w:p>
    <w:p w14:paraId="72EEA770" w14:textId="3245654A"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Evolución </w:t>
      </w:r>
      <w:r w:rsidR="00390155">
        <w:rPr>
          <w:rFonts w:ascii="Google Sans" w:eastAsia="Google Sans" w:hAnsi="Google Sans" w:cs="Google Sans"/>
          <w:color w:val="1F1F1F"/>
        </w:rPr>
        <w:t xml:space="preserve">arquitectónica: el cuello de botella del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y el </w:t>
      </w:r>
      <w:r w:rsidR="00390155">
        <w:rPr>
          <w:rFonts w:ascii="Google Sans" w:eastAsia="Google Sans" w:hAnsi="Google Sans" w:cs="Google Sans"/>
          <w:color w:val="1F1F1F"/>
        </w:rPr>
        <w:t>paradigma del contexto largo</w:t>
      </w:r>
    </w:p>
    <w:p w14:paraId="489A7490"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Durante casi una década, la arquitectura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ha consolidado su posición como la columna vertebral del procesamiento de lenguaje natural y la visión por computadora. Sin embargo, su diseño intrínseco alberga limitaciones matemáticas que se manifiestan de manera crítica cuando se exponen a secuencias de contexto extremadamente largo, tales como la transcripción continua y el análisis fotograma por fotograma de un video judicial de cuatro horas.</w:t>
      </w:r>
    </w:p>
    <w:p w14:paraId="6876A255"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núcleo funcional de los modelos basados en Transformers radica en el mecanismo de autoatención (</w:t>
      </w:r>
      <w:proofErr w:type="spellStart"/>
      <w:r>
        <w:rPr>
          <w:rFonts w:ascii="Google Sans" w:eastAsia="Google Sans" w:hAnsi="Google Sans" w:cs="Google Sans"/>
          <w:color w:val="1F1F1F"/>
        </w:rPr>
        <w:t>self-attention</w:t>
      </w:r>
      <w:proofErr w:type="spellEnd"/>
      <w:r>
        <w:rPr>
          <w:rFonts w:ascii="Google Sans" w:eastAsia="Google Sans" w:hAnsi="Google Sans" w:cs="Google Sans"/>
          <w:color w:val="1F1F1F"/>
        </w:rPr>
        <w:t xml:space="preserve">). Este mecanismo permite al modelo evaluar la importancia </w:t>
      </w:r>
      <w:r>
        <w:rPr>
          <w:rFonts w:ascii="Google Sans" w:eastAsia="Google Sans" w:hAnsi="Google Sans" w:cs="Google Sans"/>
          <w:color w:val="1F1F1F"/>
        </w:rPr>
        <w:lastRenderedPageBreak/>
        <w:t>relativa de cada elemento (token) en una secuencia con respecto a todos los demás elementos presentes en el contexto.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Si bien esta capacidad otorga al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una precisión inigualable para el razonamiento global y la captura de dependencias semánticas complejas, su complejidad computacional crece de forma cuadrática respecto a la longitud de la secuencia, expresada matemáticamente como </w:t>
      </w:r>
      <w:r>
        <w:rPr>
          <w:rFonts w:ascii="Google Sans" w:eastAsia="Google Sans" w:hAnsi="Google Sans" w:cs="Google Sans"/>
          <w:noProof/>
          <w:color w:val="1F1F1F"/>
        </w:rPr>
        <w:drawing>
          <wp:inline distT="19050" distB="19050" distL="19050" distR="19050" wp14:anchorId="182423EF" wp14:editId="3D833FCC">
            <wp:extent cx="537269" cy="23025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37269" cy="23025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medida que el video avanza y la secuencia de tokens visuales y acústicos se alarga, los requerimientos de cálculo y, de manera aún más restrictiva, los costos de memoria lineal del caché de Clave-Valor (KV cache), se vuelven prohibitivos.</w:t>
      </w:r>
      <w:r>
        <w:rPr>
          <w:rFonts w:ascii="Google Sans" w:eastAsia="Google Sans" w:hAnsi="Google Sans" w:cs="Google Sans"/>
          <w:color w:val="444746"/>
          <w:sz w:val="24"/>
          <w:szCs w:val="24"/>
          <w:vertAlign w:val="superscript"/>
        </w:rPr>
        <w:t>1</w:t>
      </w:r>
    </w:p>
    <w:p w14:paraId="2A3E97E8"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En la práctica, esto significa que un modelo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visual estándar es incapaz de procesar una audiencia de cuatro horas sin recurrir a un submuestreo agresivo. Modelos multimodales prominentes como Qwen2-VL, por ejemplo, están limitados a procesar un máximo de 256 fotogramas en una sola Unidad de Procesamiento Gráfico (GPU), una cantidad que resulta completamente insuficiente para un análisis conductual continuo donde las </w:t>
      </w:r>
      <w:proofErr w:type="spellStart"/>
      <w:r>
        <w:rPr>
          <w:rFonts w:ascii="Google Sans" w:eastAsia="Google Sans" w:hAnsi="Google Sans" w:cs="Google Sans"/>
          <w:color w:val="1F1F1F"/>
        </w:rPr>
        <w:t>microexpresiones</w:t>
      </w:r>
      <w:proofErr w:type="spellEnd"/>
      <w:r>
        <w:rPr>
          <w:rFonts w:ascii="Google Sans" w:eastAsia="Google Sans" w:hAnsi="Google Sans" w:cs="Google Sans"/>
          <w:color w:val="1F1F1F"/>
        </w:rPr>
        <w:t xml:space="preserve"> faciales que delatan el engaño ocurren en fracciones de segundo.</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La industria ha intentado mitigar este techo económico y de hardware mediante la fuerza bruta —utilizando hardware más potente—, núcleos optimizados como FlashAttention-3, o técnicas de compresión y desalojo del caché KV en arquitecturas como </w:t>
      </w:r>
      <w:proofErr w:type="spellStart"/>
      <w:r>
        <w:rPr>
          <w:rFonts w:ascii="Google Sans" w:eastAsia="Google Sans" w:hAnsi="Google Sans" w:cs="Google Sans"/>
          <w:color w:val="1F1F1F"/>
        </w:rPr>
        <w:t>Multi-head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Latent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Attention</w:t>
      </w:r>
      <w:proofErr w:type="spellEnd"/>
      <w:r>
        <w:rPr>
          <w:rFonts w:ascii="Google Sans" w:eastAsia="Google Sans" w:hAnsi="Google Sans" w:cs="Google Sans"/>
          <w:color w:val="1F1F1F"/>
        </w:rPr>
        <w:t xml:space="preserve"> (MLA).</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No obstante, estas estrategias de evasión que preservan el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representan alivios temporales que no escapan a la tiranía matemática del crecimiento cuadrático.</w:t>
      </w:r>
      <w:r>
        <w:rPr>
          <w:rFonts w:ascii="Google Sans" w:eastAsia="Google Sans" w:hAnsi="Google Sans" w:cs="Google Sans"/>
          <w:color w:val="444746"/>
          <w:sz w:val="24"/>
          <w:szCs w:val="24"/>
          <w:vertAlign w:val="superscript"/>
        </w:rPr>
        <w:t>2</w:t>
      </w:r>
    </w:p>
    <w:p w14:paraId="3E5670E1" w14:textId="0F90A77F"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La </w:t>
      </w:r>
      <w:r w:rsidR="00390155">
        <w:rPr>
          <w:rFonts w:ascii="Google Sans" w:eastAsia="Google Sans" w:hAnsi="Google Sans" w:cs="Google Sans"/>
          <w:color w:val="1F1F1F"/>
        </w:rPr>
        <w:t>revolución de los modelos de espacio de estados: la arquitectura mamba</w:t>
      </w:r>
    </w:p>
    <w:p w14:paraId="15353A2A"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Como respuesta directa a la denominada "pared de memoria" (</w:t>
      </w:r>
      <w:proofErr w:type="spellStart"/>
      <w:r>
        <w:rPr>
          <w:rFonts w:ascii="Google Sans" w:eastAsia="Google Sans" w:hAnsi="Google Sans" w:cs="Google Sans"/>
          <w:color w:val="1F1F1F"/>
        </w:rPr>
        <w:t>memory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wall</w:t>
      </w:r>
      <w:proofErr w:type="spellEnd"/>
      <w:r>
        <w:rPr>
          <w:rFonts w:ascii="Google Sans" w:eastAsia="Google Sans" w:hAnsi="Google Sans" w:cs="Google Sans"/>
          <w:color w:val="1F1F1F"/>
        </w:rPr>
        <w:t>) inherente a los Transformers, la investigación en aprendizaje profundo viró hacia la teoría de control clásico y los Modelos de Espacio de Estados estructurados, culminando en la introducción de la arquitectura Mamba.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La premisa ontológica de Mamba es fundamentalmente distinta: en lugar de mantener un registro expansivo de todos los tokens pasados, utiliza un modo de inferencia recurrente que comprime toda la información histórica en un estado oculto de tamaño fijo.</w:t>
      </w:r>
      <w:r>
        <w:rPr>
          <w:rFonts w:ascii="Google Sans" w:eastAsia="Google Sans" w:hAnsi="Google Sans" w:cs="Google Sans"/>
          <w:color w:val="444746"/>
          <w:sz w:val="24"/>
          <w:szCs w:val="24"/>
          <w:vertAlign w:val="superscript"/>
        </w:rPr>
        <w:t>1</w:t>
      </w:r>
    </w:p>
    <w:p w14:paraId="3605093E"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Este enfoque de compresión selectiva garantiza una complejidad temporal estrictamente lineal, </w:t>
      </w:r>
      <w:r>
        <w:rPr>
          <w:rFonts w:ascii="Google Sans" w:eastAsia="Google Sans" w:hAnsi="Google Sans" w:cs="Google Sans"/>
          <w:noProof/>
          <w:color w:val="1F1F1F"/>
        </w:rPr>
        <w:drawing>
          <wp:inline distT="19050" distB="19050" distL="19050" distR="19050" wp14:anchorId="6F3342E2" wp14:editId="1C99C6C6">
            <wp:extent cx="463600" cy="22706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63600" cy="227069"/>
                    </a:xfrm>
                    <a:prstGeom prst="rect">
                      <a:avLst/>
                    </a:prstGeom>
                    <a:ln/>
                  </pic:spPr>
                </pic:pic>
              </a:graphicData>
            </a:graphic>
          </wp:inline>
        </w:drawing>
      </w:r>
      <w:r>
        <w:rPr>
          <w:rFonts w:ascii="Google Sans" w:eastAsia="Google Sans" w:hAnsi="Google Sans" w:cs="Google Sans"/>
          <w:color w:val="1F1F1F"/>
        </w:rPr>
        <w:t>, lo que se traduce en demandas de memoria constantes durante la fase de inferencia, sin importar cuán larga se vuelva la secuencia.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Además, la arquitectura Mamba elimina la necesidad de mecanismos de codificación posicional estáticos, lo que teóricamente le permite manejar secuencias de longitud infinita y adaptarse de manera fluida al flujo ininterrumpido de datos audiovisuales generados en una vista pública judicial.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Al evitar el crecimiento exponencial del caché KV, los modelos Mamba permiten que la computación escale de manera proporcional a la longitud de la secuencia, lo que resulta en reducciones de </w:t>
      </w:r>
      <w:r>
        <w:rPr>
          <w:rFonts w:ascii="Google Sans" w:eastAsia="Google Sans" w:hAnsi="Google Sans" w:cs="Google Sans"/>
          <w:color w:val="1F1F1F"/>
        </w:rPr>
        <w:lastRenderedPageBreak/>
        <w:t>latencia de hasta cinco veces cuando los contextos superan los dos mil tokens.</w:t>
      </w:r>
      <w:r>
        <w:rPr>
          <w:rFonts w:ascii="Google Sans" w:eastAsia="Google Sans" w:hAnsi="Google Sans" w:cs="Google Sans"/>
          <w:color w:val="444746"/>
          <w:sz w:val="24"/>
          <w:szCs w:val="24"/>
          <w:vertAlign w:val="superscript"/>
        </w:rPr>
        <w:t>5</w:t>
      </w:r>
    </w:p>
    <w:p w14:paraId="7A405AE6"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evolución dentro de la misma familia Mamba ha sido vertiginosa. Mientras que Mamba-1 y Mamba-2 se desarrollaron desde una perspectiva orientada a la eficiencia del entrenamiento —simplificando las transiciones diagonales para lograr velocidades de preentrenamiento entre dos y ocho veces más rápidas—, la iteración Mamba-3 fue diseñada con la eficiencia de inferencia como su meta cardinal.</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Mamba-3 introduce una fórmula de recurrencia altamente expresiva derivada de un esquema de discretización exponencial-trapezoidal, superando los diseños lineales previos.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Además, incorpora el seguimiento de estados con valores complejos mediante incrustaciones posicionales rotativas (</w:t>
      </w:r>
      <w:proofErr w:type="spellStart"/>
      <w:r>
        <w:rPr>
          <w:rFonts w:ascii="Google Sans" w:eastAsia="Google Sans" w:hAnsi="Google Sans" w:cs="Google Sans"/>
          <w:color w:val="1F1F1F"/>
        </w:rPr>
        <w:t>RoPE</w:t>
      </w:r>
      <w:proofErr w:type="spellEnd"/>
      <w:r>
        <w:rPr>
          <w:rFonts w:ascii="Google Sans" w:eastAsia="Google Sans" w:hAnsi="Google Sans" w:cs="Google Sans"/>
          <w:color w:val="1F1F1F"/>
        </w:rPr>
        <w:t>) y despliega una variante MIMO (Múltiples Entradas, Múltiples Salidas) que modela múltiples subsistemas SSM en paralelo.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Estas innovaciones permiten que Mamba-3 procese secuencias masivas con una latencia por paso de decodificación significativamente menor que sus predecesores y que modelos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equivalentes, resolviendo los cuellos de botella de memoria que impiden el análisis de video ininterrumpido.</w:t>
      </w:r>
      <w:r>
        <w:rPr>
          <w:rFonts w:ascii="Google Sans" w:eastAsia="Google Sans" w:hAnsi="Google Sans" w:cs="Google Sans"/>
          <w:color w:val="444746"/>
          <w:sz w:val="24"/>
          <w:szCs w:val="24"/>
          <w:vertAlign w:val="superscript"/>
        </w:rPr>
        <w:t>6</w:t>
      </w:r>
    </w:p>
    <w:p w14:paraId="11EC1F6C" w14:textId="465FDCD2"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El </w:t>
      </w:r>
      <w:r w:rsidR="00390155">
        <w:rPr>
          <w:rFonts w:ascii="Google Sans" w:eastAsia="Google Sans" w:hAnsi="Google Sans" w:cs="Google Sans"/>
          <w:color w:val="1F1F1F"/>
        </w:rPr>
        <w:t>ecosistema híbrido mamba-</w:t>
      </w:r>
      <w:proofErr w:type="spellStart"/>
      <w:r w:rsidR="00390155">
        <w:rPr>
          <w:rFonts w:ascii="Google Sans" w:eastAsia="Google Sans" w:hAnsi="Google Sans" w:cs="Google Sans"/>
          <w:color w:val="1F1F1F"/>
        </w:rPr>
        <w:t>transformer</w:t>
      </w:r>
      <w:proofErr w:type="spellEnd"/>
      <w:r w:rsidR="00390155">
        <w:rPr>
          <w:rFonts w:ascii="Google Sans" w:eastAsia="Google Sans" w:hAnsi="Google Sans" w:cs="Google Sans"/>
          <w:color w:val="1F1F1F"/>
        </w:rPr>
        <w:t xml:space="preserve"> en la comprensión de video de formato largo</w:t>
      </w:r>
    </w:p>
    <w:p w14:paraId="2A7E1B12"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pesar de las ventajas térmicas y de memoria sin precedentes de los SSM, la comunidad científica observó que la compresión de todo el contexto histórico en un estado fijo conlleva una penalización. La evidencia empírica sugiere que la capacidad de Mamba puro para comprender y recuperar información exacta en contextos largos es limitada en comparación con los modelos basados en atención.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En tareas que exigen un razonamiento espacial detallado o un aprendizaje en contexto agudo —como rastrear el cambio en la dirección de la mirada de un testigo hacia una prueba documental específica— el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sigue siendo el paradigma superior.</w:t>
      </w:r>
      <w:r>
        <w:rPr>
          <w:rFonts w:ascii="Google Sans" w:eastAsia="Google Sans" w:hAnsi="Google Sans" w:cs="Google Sans"/>
          <w:color w:val="444746"/>
          <w:sz w:val="24"/>
          <w:szCs w:val="24"/>
          <w:vertAlign w:val="superscript"/>
        </w:rPr>
        <w:t>8</w:t>
      </w:r>
    </w:p>
    <w:p w14:paraId="42E15B27"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Esta dicotomía ha catalizado el desarrollo de arquitecturas híbridas pragmáticas que entrelazan bloques Mamba con capas de atención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buscando amalgamar la memoria a largo plazo eficiente en costos con la nitidez del recuerdo local.</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Modelos fundacionales como Jamba integran capas Mamba al inicio y en el medio de la red para capturar el flujo general de la información, insertando selectivamente bloques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hacia las capas finales para resolver relaciones espaciales finas.</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El uso complementario de sistemas de Mezcla de Expertos (Mixture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Experts</w:t>
      </w:r>
      <w:proofErr w:type="spellEnd"/>
      <w:r>
        <w:rPr>
          <w:rFonts w:ascii="Google Sans" w:eastAsia="Google Sans" w:hAnsi="Google Sans" w:cs="Google Sans"/>
          <w:color w:val="1F1F1F"/>
        </w:rPr>
        <w:t xml:space="preserve"> o </w:t>
      </w:r>
      <w:proofErr w:type="spellStart"/>
      <w:r>
        <w:rPr>
          <w:rFonts w:ascii="Google Sans" w:eastAsia="Google Sans" w:hAnsi="Google Sans" w:cs="Google Sans"/>
          <w:color w:val="1F1F1F"/>
        </w:rPr>
        <w:t>MoE</w:t>
      </w:r>
      <w:proofErr w:type="spellEnd"/>
      <w:r>
        <w:rPr>
          <w:rFonts w:ascii="Google Sans" w:eastAsia="Google Sans" w:hAnsi="Google Sans" w:cs="Google Sans"/>
          <w:color w:val="1F1F1F"/>
        </w:rPr>
        <w:t xml:space="preserve">) permite que estas arquitecturas alcancen ventanas de contexto de hasta 256,000 tokens utilizando un caché KV entre ocho y diez veces más pequeño que un </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tradicional.</w:t>
      </w:r>
      <w:r>
        <w:rPr>
          <w:rFonts w:ascii="Google Sans" w:eastAsia="Google Sans" w:hAnsi="Google Sans" w:cs="Google Sans"/>
          <w:color w:val="444746"/>
          <w:sz w:val="24"/>
          <w:szCs w:val="24"/>
          <w:vertAlign w:val="superscript"/>
        </w:rPr>
        <w:t>8</w:t>
      </w:r>
    </w:p>
    <w:p w14:paraId="5A72CA4C"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En el ámbito específico del análisis de video, han surgido exponentes híbridos altamente especializados como </w:t>
      </w:r>
      <w:proofErr w:type="spellStart"/>
      <w:r>
        <w:rPr>
          <w:rFonts w:ascii="Google Sans" w:eastAsia="Google Sans" w:hAnsi="Google Sans" w:cs="Google Sans"/>
          <w:color w:val="1F1F1F"/>
        </w:rPr>
        <w:t>Vamba</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TimeViper</w:t>
      </w:r>
      <w:proofErr w:type="spellEnd"/>
      <w:r>
        <w:rPr>
          <w:rFonts w:ascii="Google Sans" w:eastAsia="Google Sans" w:hAnsi="Google Sans" w:cs="Google Sans"/>
          <w:color w:val="1F1F1F"/>
        </w:rPr>
        <w:t xml:space="preserve">. La arquitectura </w:t>
      </w:r>
      <w:proofErr w:type="spellStart"/>
      <w:r>
        <w:rPr>
          <w:rFonts w:ascii="Google Sans" w:eastAsia="Google Sans" w:hAnsi="Google Sans" w:cs="Google Sans"/>
          <w:color w:val="1F1F1F"/>
        </w:rPr>
        <w:t>Vamba</w:t>
      </w:r>
      <w:proofErr w:type="spellEnd"/>
      <w:r>
        <w:rPr>
          <w:rFonts w:ascii="Google Sans" w:eastAsia="Google Sans" w:hAnsi="Google Sans" w:cs="Google Sans"/>
          <w:color w:val="1F1F1F"/>
        </w:rPr>
        <w:t xml:space="preserve"> fue concebida explícitamente para la comprensión de videos de una hora de duración, integrando bloques Mamba-2 con </w:t>
      </w:r>
      <w:r>
        <w:rPr>
          <w:rFonts w:ascii="Google Sans" w:eastAsia="Google Sans" w:hAnsi="Google Sans" w:cs="Google Sans"/>
          <w:color w:val="1F1F1F"/>
        </w:rPr>
        <w:lastRenderedPageBreak/>
        <w:t>capas de atención cruzada inicializadas a partir de pesos preentrenados.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Sin aplicar ninguna técnica de reducción de tokens que pudiera eliminar detalles faciales cruciales, </w:t>
      </w:r>
      <w:proofErr w:type="spellStart"/>
      <w:r>
        <w:rPr>
          <w:rFonts w:ascii="Google Sans" w:eastAsia="Google Sans" w:hAnsi="Google Sans" w:cs="Google Sans"/>
          <w:color w:val="1F1F1F"/>
        </w:rPr>
        <w:t>Vamba</w:t>
      </w:r>
      <w:proofErr w:type="spellEnd"/>
      <w:r>
        <w:rPr>
          <w:rFonts w:ascii="Google Sans" w:eastAsia="Google Sans" w:hAnsi="Google Sans" w:cs="Google Sans"/>
          <w:color w:val="1F1F1F"/>
        </w:rPr>
        <w:t xml:space="preserve"> logra codificar más de 1,024 fotogramas en una sola GPU, reduciendo el uso de memoria de video y los requerimientos de cálculo de punto flotante por segundo (</w:t>
      </w:r>
      <w:proofErr w:type="spellStart"/>
      <w:r>
        <w:rPr>
          <w:rFonts w:ascii="Google Sans" w:eastAsia="Google Sans" w:hAnsi="Google Sans" w:cs="Google Sans"/>
          <w:color w:val="1F1F1F"/>
        </w:rPr>
        <w:t>FLOPs</w:t>
      </w:r>
      <w:proofErr w:type="spellEnd"/>
      <w:r>
        <w:rPr>
          <w:rFonts w:ascii="Google Sans" w:eastAsia="Google Sans" w:hAnsi="Google Sans" w:cs="Google Sans"/>
          <w:color w:val="1F1F1F"/>
        </w:rPr>
        <w:t xml:space="preserve">) en más de un 50% en comparación con </w:t>
      </w:r>
      <w:proofErr w:type="spellStart"/>
      <w:r>
        <w:rPr>
          <w:rFonts w:ascii="Google Sans" w:eastAsia="Google Sans" w:hAnsi="Google Sans" w:cs="Google Sans"/>
          <w:color w:val="1F1F1F"/>
        </w:rPr>
        <w:t>baselines</w:t>
      </w:r>
      <w:proofErr w:type="spellEnd"/>
      <w:r>
        <w:rPr>
          <w:rFonts w:ascii="Google Sans" w:eastAsia="Google Sans" w:hAnsi="Google Sans" w:cs="Google Sans"/>
          <w:color w:val="1F1F1F"/>
        </w:rPr>
        <w:t xml:space="preserve"> puramente Transformer.</w:t>
      </w:r>
      <w:r>
        <w:rPr>
          <w:rFonts w:ascii="Google Sans" w:eastAsia="Google Sans" w:hAnsi="Google Sans" w:cs="Google Sans"/>
          <w:color w:val="444746"/>
          <w:sz w:val="24"/>
          <w:szCs w:val="24"/>
          <w:vertAlign w:val="superscript"/>
        </w:rPr>
        <w:t>3</w:t>
      </w:r>
    </w:p>
    <w:p w14:paraId="00C7AB5E"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Por su parte, el modelo </w:t>
      </w:r>
      <w:proofErr w:type="spellStart"/>
      <w:r>
        <w:rPr>
          <w:rFonts w:ascii="Google Sans" w:eastAsia="Google Sans" w:hAnsi="Google Sans" w:cs="Google Sans"/>
          <w:color w:val="1F1F1F"/>
        </w:rPr>
        <w:t>TimeViper</w:t>
      </w:r>
      <w:proofErr w:type="spellEnd"/>
      <w:r>
        <w:rPr>
          <w:rFonts w:ascii="Google Sans" w:eastAsia="Google Sans" w:hAnsi="Google Sans" w:cs="Google Sans"/>
          <w:color w:val="1F1F1F"/>
        </w:rPr>
        <w:t xml:space="preserve"> adopta un enfoque híbrido equipado con un módulo </w:t>
      </w:r>
      <w:proofErr w:type="spellStart"/>
      <w:r>
        <w:rPr>
          <w:rFonts w:ascii="Google Sans" w:eastAsia="Google Sans" w:hAnsi="Google Sans" w:cs="Google Sans"/>
          <w:color w:val="1F1F1F"/>
        </w:rPr>
        <w:t>TransV</w:t>
      </w:r>
      <w:proofErr w:type="spellEnd"/>
      <w:r>
        <w:rPr>
          <w:rFonts w:ascii="Google Sans" w:eastAsia="Google Sans" w:hAnsi="Google Sans" w:cs="Google Sans"/>
          <w:color w:val="1F1F1F"/>
        </w:rPr>
        <w:t>, una innovación de transferencia y compresión que transfiere explícitamente la información de los tokens visuales hacia los tokens de instrucción a través de un mecanismo de atención cruzada cerrada (</w:t>
      </w:r>
      <w:proofErr w:type="spellStart"/>
      <w:r>
        <w:rPr>
          <w:rFonts w:ascii="Google Sans" w:eastAsia="Google Sans" w:hAnsi="Google Sans" w:cs="Google Sans"/>
          <w:color w:val="1F1F1F"/>
        </w:rPr>
        <w:t>gated</w:t>
      </w:r>
      <w:proofErr w:type="spellEnd"/>
      <w:r>
        <w:rPr>
          <w:rFonts w:ascii="Google Sans" w:eastAsia="Google Sans" w:hAnsi="Google Sans" w:cs="Google Sans"/>
          <w:color w:val="1F1F1F"/>
        </w:rPr>
        <w:t xml:space="preserve"> cross-</w:t>
      </w:r>
      <w:proofErr w:type="spellStart"/>
      <w:r>
        <w:rPr>
          <w:rFonts w:ascii="Google Sans" w:eastAsia="Google Sans" w:hAnsi="Google Sans" w:cs="Google Sans"/>
          <w:color w:val="1F1F1F"/>
        </w:rPr>
        <w:t>attention</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Este diseño mitiga la redundancia masiva de los tokens visuales, permitiendo a </w:t>
      </w:r>
      <w:proofErr w:type="spellStart"/>
      <w:r>
        <w:rPr>
          <w:rFonts w:ascii="Google Sans" w:eastAsia="Google Sans" w:hAnsi="Google Sans" w:cs="Google Sans"/>
          <w:color w:val="1F1F1F"/>
        </w:rPr>
        <w:t>TimeViper</w:t>
      </w:r>
      <w:proofErr w:type="spellEnd"/>
      <w:r>
        <w:rPr>
          <w:rFonts w:ascii="Google Sans" w:eastAsia="Google Sans" w:hAnsi="Google Sans" w:cs="Google Sans"/>
          <w:color w:val="1F1F1F"/>
        </w:rPr>
        <w:t xml:space="preserve"> procesar videos que superan los 10,000 fotogramas sin colapsar la infraestructura subyacente, manteniendo una competitividad asombrosa en los </w:t>
      </w:r>
      <w:proofErr w:type="spellStart"/>
      <w:r>
        <w:rPr>
          <w:rFonts w:ascii="Google Sans" w:eastAsia="Google Sans" w:hAnsi="Google Sans" w:cs="Google Sans"/>
          <w:color w:val="1F1F1F"/>
        </w:rPr>
        <w:t>benchmarks</w:t>
      </w:r>
      <w:proofErr w:type="spellEnd"/>
      <w:r>
        <w:rPr>
          <w:rFonts w:ascii="Google Sans" w:eastAsia="Google Sans" w:hAnsi="Google Sans" w:cs="Google Sans"/>
          <w:color w:val="1F1F1F"/>
        </w:rPr>
        <w:t xml:space="preserve"> de evaluación de video de formato largo (como </w:t>
      </w:r>
      <w:proofErr w:type="spellStart"/>
      <w:r>
        <w:rPr>
          <w:rFonts w:ascii="Google Sans" w:eastAsia="Google Sans" w:hAnsi="Google Sans" w:cs="Google Sans"/>
          <w:color w:val="1F1F1F"/>
        </w:rPr>
        <w:t>LVBench</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VideoMME</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Modelos a escala masiva como </w:t>
      </w:r>
      <w:proofErr w:type="spellStart"/>
      <w:r>
        <w:rPr>
          <w:rFonts w:ascii="Google Sans" w:eastAsia="Google Sans" w:hAnsi="Google Sans" w:cs="Google Sans"/>
          <w:color w:val="1F1F1F"/>
        </w:rPr>
        <w:t>Nemotron</w:t>
      </w:r>
      <w:proofErr w:type="spellEnd"/>
      <w:r>
        <w:rPr>
          <w:rFonts w:ascii="Google Sans" w:eastAsia="Google Sans" w:hAnsi="Google Sans" w:cs="Google Sans"/>
          <w:color w:val="1F1F1F"/>
        </w:rPr>
        <w:t xml:space="preserve"> 3 Super (de 120 mil millones de parámetros) también han adoptado esta hibridación, logrando aumentos de rendimiento de hasta 7.5 veces en la velocidad de inferencia respecto a arquitecturas densas estándar.</w:t>
      </w:r>
      <w:r>
        <w:rPr>
          <w:rFonts w:ascii="Google Sans" w:eastAsia="Google Sans" w:hAnsi="Google Sans" w:cs="Google Sans"/>
          <w:color w:val="444746"/>
          <w:sz w:val="24"/>
          <w:szCs w:val="24"/>
          <w:vertAlign w:val="superscript"/>
        </w:rPr>
        <w:t>15</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39F1" w:rsidRPr="00185574" w14:paraId="592912CF"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705DBE4"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Dimensión Analítica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6D169CA"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Transformer</w:t>
            </w:r>
            <w:proofErr w:type="spellEnd"/>
            <w:r>
              <w:rPr>
                <w:rFonts w:ascii="Google Sans" w:eastAsia="Google Sans" w:hAnsi="Google Sans" w:cs="Google Sans"/>
                <w:b/>
                <w:bCs/>
                <w:color w:val="1F1F1F"/>
              </w:rPr>
              <w:t xml:space="preserve"> Puro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AD40C97"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Mamba Puro (Estado de Espacio)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3F3C068" w14:textId="77777777" w:rsidR="00AF39F1" w:rsidRPr="00185574"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lang w:val="pt-BR"/>
              </w:rPr>
            </w:pPr>
            <w:proofErr w:type="spellStart"/>
            <w:r w:rsidRPr="00185574">
              <w:rPr>
                <w:rFonts w:ascii="Google Sans" w:eastAsia="Google Sans" w:hAnsi="Google Sans" w:cs="Google Sans"/>
                <w:b/>
                <w:bCs/>
                <w:color w:val="1F1F1F"/>
                <w:lang w:val="pt-BR"/>
              </w:rPr>
              <w:t>Arquitectura</w:t>
            </w:r>
            <w:proofErr w:type="spellEnd"/>
            <w:r w:rsidRPr="00185574">
              <w:rPr>
                <w:rFonts w:ascii="Google Sans" w:eastAsia="Google Sans" w:hAnsi="Google Sans" w:cs="Google Sans"/>
                <w:b/>
                <w:bCs/>
                <w:color w:val="1F1F1F"/>
                <w:lang w:val="pt-BR"/>
              </w:rPr>
              <w:t xml:space="preserve"> Híbrida (</w:t>
            </w:r>
            <w:proofErr w:type="spellStart"/>
            <w:r w:rsidRPr="00185574">
              <w:rPr>
                <w:rFonts w:ascii="Google Sans" w:eastAsia="Google Sans" w:hAnsi="Google Sans" w:cs="Google Sans"/>
                <w:b/>
                <w:bCs/>
                <w:color w:val="1F1F1F"/>
                <w:lang w:val="pt-BR"/>
              </w:rPr>
              <w:t>Vamba</w:t>
            </w:r>
            <w:proofErr w:type="spellEnd"/>
            <w:r w:rsidRPr="00185574">
              <w:rPr>
                <w:rFonts w:ascii="Google Sans" w:eastAsia="Google Sans" w:hAnsi="Google Sans" w:cs="Google Sans"/>
                <w:b/>
                <w:bCs/>
                <w:color w:val="1F1F1F"/>
                <w:lang w:val="pt-BR"/>
              </w:rPr>
              <w:t xml:space="preserve"> / </w:t>
            </w:r>
            <w:proofErr w:type="spellStart"/>
            <w:r w:rsidRPr="00185574">
              <w:rPr>
                <w:rFonts w:ascii="Google Sans" w:eastAsia="Google Sans" w:hAnsi="Google Sans" w:cs="Google Sans"/>
                <w:b/>
                <w:bCs/>
                <w:color w:val="1F1F1F"/>
                <w:lang w:val="pt-BR"/>
              </w:rPr>
              <w:t>TimeViper</w:t>
            </w:r>
            <w:proofErr w:type="spellEnd"/>
            <w:r w:rsidRPr="00185574">
              <w:rPr>
                <w:rFonts w:ascii="Google Sans" w:eastAsia="Google Sans" w:hAnsi="Google Sans" w:cs="Google Sans"/>
                <w:b/>
                <w:bCs/>
                <w:color w:val="1F1F1F"/>
                <w:lang w:val="pt-BR"/>
              </w:rPr>
              <w:t xml:space="preserve"> / Jamba)</w:t>
            </w:r>
          </w:p>
        </w:tc>
      </w:tr>
      <w:tr w:rsidR="00AF39F1" w14:paraId="654A2993"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7C37A2A"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Complejidad Computacional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13248B7"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b/>
                <w:bCs/>
                <w:noProof/>
                <w:color w:val="1F1F1F"/>
              </w:rPr>
              <w:drawing>
                <wp:inline distT="19050" distB="19050" distL="19050" distR="19050" wp14:anchorId="526B5858" wp14:editId="7B290D91">
                  <wp:extent cx="537269" cy="23025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37269" cy="230258"/>
                          </a:xfrm>
                          <a:prstGeom prst="rect">
                            <a:avLst/>
                          </a:prstGeom>
                          <a:ln/>
                        </pic:spPr>
                      </pic:pic>
                    </a:graphicData>
                  </a:graphic>
                </wp:inline>
              </w:drawing>
            </w:r>
            <w:r>
              <w:rPr>
                <w:rFonts w:ascii="Google Sans" w:eastAsia="Google Sans" w:hAnsi="Google Sans" w:cs="Google Sans"/>
                <w:color w:val="1F1F1F"/>
              </w:rPr>
              <w:t xml:space="preserve"> (Crecimiento cuadrático)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11C7BCF"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0FA7F90" wp14:editId="54FCBC4F">
                  <wp:extent cx="463600" cy="22706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63600" cy="227069"/>
                          </a:xfrm>
                          <a:prstGeom prst="rect">
                            <a:avLst/>
                          </a:prstGeom>
                          <a:ln/>
                        </pic:spPr>
                      </pic:pic>
                    </a:graphicData>
                  </a:graphic>
                </wp:inline>
              </w:drawing>
            </w:r>
            <w:r>
              <w:rPr>
                <w:rFonts w:ascii="Google Sans" w:eastAsia="Google Sans" w:hAnsi="Google Sans" w:cs="Google Sans"/>
                <w:color w:val="1F1F1F"/>
              </w:rPr>
              <w:t xml:space="preserve"> (Crecimiento lineal)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CC67A2E"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ED10C6B" wp14:editId="34D67063">
                  <wp:extent cx="463600" cy="22706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63600" cy="227069"/>
                          </a:xfrm>
                          <a:prstGeom prst="rect">
                            <a:avLst/>
                          </a:prstGeom>
                          <a:ln/>
                        </pic:spPr>
                      </pic:pic>
                    </a:graphicData>
                  </a:graphic>
                </wp:inline>
              </w:drawing>
            </w:r>
            <w:r>
              <w:rPr>
                <w:rFonts w:ascii="Google Sans" w:eastAsia="Google Sans" w:hAnsi="Google Sans" w:cs="Google Sans"/>
                <w:color w:val="1F1F1F"/>
              </w:rPr>
              <w:t xml:space="preserve"> amortizado con picos locales cuadráticos</w:t>
            </w:r>
          </w:p>
        </w:tc>
      </w:tr>
      <w:tr w:rsidR="00AF39F1" w14:paraId="0FF6F5AA"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929D7C6"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Gestión de Memoria GPU</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547ABF0"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Crecimiento lineal del Caché KV; saturación rápida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99BC3F8"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Consumo constante en inferencia; sin caché KV</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57B9DA42"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Reducción del 50-90% del caché KV; altamente escalable</w:t>
            </w:r>
          </w:p>
        </w:tc>
      </w:tr>
      <w:tr w:rsidR="00AF39F1" w14:paraId="1D4BD833"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03B2C83"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Capacidad en Contextos Largos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9276871"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Severamente limitada (máx. cientos de </w:t>
            </w:r>
            <w:r>
              <w:rPr>
                <w:rFonts w:ascii="Google Sans" w:eastAsia="Google Sans" w:hAnsi="Google Sans" w:cs="Google Sans"/>
                <w:color w:val="1F1F1F"/>
              </w:rPr>
              <w:lastRenderedPageBreak/>
              <w:t>fotogramas visuales)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7DEA280"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Teóricamente infinita; térmicamente </w:t>
            </w:r>
            <w:r>
              <w:rPr>
                <w:rFonts w:ascii="Google Sans" w:eastAsia="Google Sans" w:hAnsi="Google Sans" w:cs="Google Sans"/>
                <w:color w:val="1F1F1F"/>
              </w:rPr>
              <w:lastRenderedPageBreak/>
              <w:t>eficiente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030CCE1D"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Excepcional (&gt;10,000 fotogramas); ideal para </w:t>
            </w:r>
            <w:r>
              <w:rPr>
                <w:rFonts w:ascii="Google Sans" w:eastAsia="Google Sans" w:hAnsi="Google Sans" w:cs="Google Sans"/>
                <w:color w:val="1F1F1F"/>
              </w:rPr>
              <w:lastRenderedPageBreak/>
              <w:t>4 horas</w:t>
            </w:r>
          </w:p>
        </w:tc>
      </w:tr>
      <w:tr w:rsidR="00AF39F1" w14:paraId="0342CFBD"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1B1CFB6"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Recuperación Semántica Fina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D7A1F8F"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Excelente (Razonamiento global y retención exacta)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1196B65"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Moderada (Pérdida por compresión en el estado fijo)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739E63E" w14:textId="77777777" w:rsidR="00AF39F1"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Alta (Sinergia entre memoria larga y atención puntual)</w:t>
            </w:r>
          </w:p>
        </w:tc>
      </w:tr>
    </w:tbl>
    <w:p w14:paraId="352838D6" w14:textId="3B1551FE" w:rsidR="00AF39F1" w:rsidRDefault="00000000">
      <w:pPr>
        <w:pStyle w:val="Ttulo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Diseño del </w:t>
      </w:r>
      <w:r w:rsidR="00390155">
        <w:rPr>
          <w:rFonts w:ascii="Google Sans" w:eastAsia="Google Sans" w:hAnsi="Google Sans" w:cs="Google Sans"/>
          <w:color w:val="1F1F1F"/>
        </w:rPr>
        <w:t>pipeline computacional para la ingesta de 2,400 horas de video judicial</w:t>
      </w:r>
    </w:p>
    <w:p w14:paraId="631945E8"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desafío operativo de procesar 600 videos de audiencias de 4 horas trasciende la simple elección del modelo fundacional; requiere el despliegue de un pipeline algorítmico distribuido, capaz de orquestar la extracción sincrónica de modalidades dispares (imagen, sonido, texto transcrito) y su posterior fusión.</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Un sistema de 2,400 horas a una tasa estándar de 30 fotogramas por segundo equivale a procesar más de 259 millones de fotogramas, una ingesta que demanda una arquitectura en la nube robusta, nativa y elástica.</w:t>
      </w:r>
      <w:r>
        <w:rPr>
          <w:rFonts w:ascii="Google Sans" w:eastAsia="Google Sans" w:hAnsi="Google Sans" w:cs="Google Sans"/>
          <w:color w:val="444746"/>
          <w:sz w:val="24"/>
          <w:szCs w:val="24"/>
          <w:vertAlign w:val="superscript"/>
        </w:rPr>
        <w:t>17</w:t>
      </w:r>
    </w:p>
    <w:p w14:paraId="5B9BAFCB" w14:textId="1CBB8F5A"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Requisitos de </w:t>
      </w:r>
      <w:r w:rsidR="00390155">
        <w:rPr>
          <w:rFonts w:ascii="Google Sans" w:eastAsia="Google Sans" w:hAnsi="Google Sans" w:cs="Google Sans"/>
          <w:color w:val="1F1F1F"/>
        </w:rPr>
        <w:t>hardware y proyecciones económicas de inferencia</w:t>
      </w:r>
    </w:p>
    <w:p w14:paraId="7EB3E8C4"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análisis de esta magnitud está condicionado por el hardware, específicamente por la capacidad de memoria de las GPUs empresariales. La inferencia de Modelos Multimodales Grandes es inherentemente un proceso limitado por el ancho de banda de la memoria (</w:t>
      </w:r>
      <w:proofErr w:type="spellStart"/>
      <w:r>
        <w:rPr>
          <w:rFonts w:ascii="Google Sans" w:eastAsia="Google Sans" w:hAnsi="Google Sans" w:cs="Google Sans"/>
          <w:color w:val="1F1F1F"/>
        </w:rPr>
        <w:t>memory-bound</w:t>
      </w:r>
      <w:proofErr w:type="spellEnd"/>
      <w:r>
        <w:rPr>
          <w:rFonts w:ascii="Google Sans" w:eastAsia="Google Sans" w:hAnsi="Google Sans" w:cs="Google Sans"/>
          <w:color w:val="1F1F1F"/>
        </w:rPr>
        <w:t>), no simplemente por el cómputo puro.</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Las GPUs NVIDIA de la serie Hopper, como la H100 (con 80 GB de memoria de alto ancho de banda) y la H200 (con 141 GB de HBM3e a 4.8 TB/s), representan el estándar de facto para este nivel de despliegue.</w:t>
      </w:r>
      <w:r>
        <w:rPr>
          <w:rFonts w:ascii="Google Sans" w:eastAsia="Google Sans" w:hAnsi="Google Sans" w:cs="Google Sans"/>
          <w:color w:val="444746"/>
          <w:sz w:val="24"/>
          <w:szCs w:val="24"/>
          <w:vertAlign w:val="superscript"/>
        </w:rPr>
        <w:t>19</w:t>
      </w:r>
    </w:p>
    <w:p w14:paraId="56F5A83B"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Alquilar clústeres </w:t>
      </w:r>
      <w:proofErr w:type="spellStart"/>
      <w:r>
        <w:rPr>
          <w:rFonts w:ascii="Google Sans" w:eastAsia="Google Sans" w:hAnsi="Google Sans" w:cs="Google Sans"/>
          <w:color w:val="1F1F1F"/>
        </w:rPr>
        <w:t>bare</w:t>
      </w:r>
      <w:proofErr w:type="spellEnd"/>
      <w:r>
        <w:rPr>
          <w:rFonts w:ascii="Google Sans" w:eastAsia="Google Sans" w:hAnsi="Google Sans" w:cs="Google Sans"/>
          <w:color w:val="1F1F1F"/>
        </w:rPr>
        <w:t>-metal sin hipervisor (para evitar latencias de virtualización) conlleva un costo financiero significativo pero manejable bajo esquemas de pago por uso. Las plataformas de infraestructura de inteligencia artificial ofrecen instancias de NVIDIA H100 a tarifas que oscilan desde los $0.001097 por segundo (aproximadamente $3.95 por hora) en plataformas elásticas, hasta tarifas competitivas de $0.39 a $0.43 por hora en ciertos proveedores descentralizados.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Considerando que la velocidad de procesamiento (</w:t>
      </w:r>
      <w:proofErr w:type="spellStart"/>
      <w:r>
        <w:rPr>
          <w:rFonts w:ascii="Google Sans" w:eastAsia="Google Sans" w:hAnsi="Google Sans" w:cs="Google Sans"/>
          <w:color w:val="1F1F1F"/>
        </w:rPr>
        <w:t>throughput</w:t>
      </w:r>
      <w:proofErr w:type="spellEnd"/>
      <w:r>
        <w:rPr>
          <w:rFonts w:ascii="Google Sans" w:eastAsia="Google Sans" w:hAnsi="Google Sans" w:cs="Google Sans"/>
          <w:color w:val="1F1F1F"/>
        </w:rPr>
        <w:t xml:space="preserve">) de una arquitectura híbrida optimizada mediante librerías como </w:t>
      </w:r>
      <w:proofErr w:type="spellStart"/>
      <w:r>
        <w:rPr>
          <w:rFonts w:ascii="Google Sans" w:eastAsia="Google Sans" w:hAnsi="Google Sans" w:cs="Google Sans"/>
          <w:color w:val="1F1F1F"/>
        </w:rPr>
        <w:t>vLLM</w:t>
      </w:r>
      <w:proofErr w:type="spellEnd"/>
      <w:r>
        <w:rPr>
          <w:rFonts w:ascii="Google Sans" w:eastAsia="Google Sans" w:hAnsi="Google Sans" w:cs="Google Sans"/>
          <w:color w:val="1F1F1F"/>
        </w:rPr>
        <w:t xml:space="preserve"> puede procesar decenas de solicitudes por segundo y mantener una utilización de la VRAM por encima del 90%, el costo total de computación para la ingesta paralela de los 600 videos dependerá directamente de la </w:t>
      </w:r>
      <w:r>
        <w:rPr>
          <w:rFonts w:ascii="Google Sans" w:eastAsia="Google Sans" w:hAnsi="Google Sans" w:cs="Google Sans"/>
          <w:color w:val="1F1F1F"/>
        </w:rPr>
        <w:lastRenderedPageBreak/>
        <w:t>eficacia del modelo híbrido para reducir el número de tokens sin sacrificar la captura de microexpresiones.</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La estimación de costos mediante APIs comerciales que manejan video y modelos multimodales nativos también refleja un costo fraccionado por millón de tokens procesados (por ejemplo, $0.30 por cada millón de tokens visuales y de texto combinado).</w:t>
      </w:r>
      <w:r>
        <w:rPr>
          <w:rFonts w:ascii="Google Sans" w:eastAsia="Google Sans" w:hAnsi="Google Sans" w:cs="Google Sans"/>
          <w:color w:val="444746"/>
          <w:sz w:val="24"/>
          <w:szCs w:val="24"/>
          <w:vertAlign w:val="superscript"/>
        </w:rPr>
        <w:t>27</w:t>
      </w:r>
    </w:p>
    <w:p w14:paraId="2943B12F" w14:textId="14588970"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Arquitectura de </w:t>
      </w:r>
      <w:r w:rsidR="00390155">
        <w:rPr>
          <w:rFonts w:ascii="Google Sans" w:eastAsia="Google Sans" w:hAnsi="Google Sans" w:cs="Google Sans"/>
          <w:color w:val="1F1F1F"/>
        </w:rPr>
        <w:t>extracción y fusión</w:t>
      </w:r>
      <w:r>
        <w:rPr>
          <w:rFonts w:ascii="Google Sans" w:eastAsia="Google Sans" w:hAnsi="Google Sans" w:cs="Google Sans"/>
          <w:color w:val="1F1F1F"/>
        </w:rPr>
        <w:t xml:space="preserve"> RAG Multimodal</w:t>
      </w:r>
    </w:p>
    <w:p w14:paraId="24F11212"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Para transformar el flujo de video crudo en datos susceptibles de evaluación forense conductual, el flujo de trabajo debe seguir una arquitectura de Generación Aumentada por Recuperación (RAG) para video.</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Este pipeline se estructura en las siguientes fases interdependientes:</w:t>
      </w:r>
    </w:p>
    <w:p w14:paraId="4F4F06A4" w14:textId="6389120A" w:rsidR="00AF39F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Preprocesamiento y </w:t>
      </w:r>
      <w:r w:rsidR="00390155">
        <w:rPr>
          <w:rFonts w:ascii="Google Sans" w:eastAsia="Google Sans" w:hAnsi="Google Sans" w:cs="Google Sans"/>
          <w:b/>
          <w:bCs/>
          <w:color w:val="1F1F1F"/>
        </w:rPr>
        <w:t>f</w:t>
      </w:r>
      <w:r>
        <w:rPr>
          <w:rFonts w:ascii="Google Sans" w:eastAsia="Google Sans" w:hAnsi="Google Sans" w:cs="Google Sans"/>
          <w:b/>
          <w:bCs/>
          <w:color w:val="1F1F1F"/>
        </w:rPr>
        <w:t>ragmentación (</w:t>
      </w:r>
      <w:proofErr w:type="spellStart"/>
      <w:r>
        <w:rPr>
          <w:rFonts w:ascii="Google Sans" w:eastAsia="Google Sans" w:hAnsi="Google Sans" w:cs="Google Sans"/>
          <w:b/>
          <w:bCs/>
          <w:color w:val="1F1F1F"/>
        </w:rPr>
        <w:t>Chunking</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Los videos de cuatro horas deben ser diseccionados cronológicamente. Utilizando bibliotecas de procesamiento audiovisual, el metraje se divide en segmentos lógicos delimitados por la detección de cambios de toma o plano y, fundamentalmente, por la </w:t>
      </w:r>
      <w:proofErr w:type="spellStart"/>
      <w:r>
        <w:rPr>
          <w:rFonts w:ascii="Google Sans" w:eastAsia="Google Sans" w:hAnsi="Google Sans" w:cs="Google Sans"/>
          <w:color w:val="1F1F1F"/>
        </w:rPr>
        <w:t>diarización</w:t>
      </w:r>
      <w:proofErr w:type="spellEnd"/>
      <w:r>
        <w:rPr>
          <w:rFonts w:ascii="Google Sans" w:eastAsia="Google Sans" w:hAnsi="Google Sans" w:cs="Google Sans"/>
          <w:color w:val="1F1F1F"/>
        </w:rPr>
        <w:t xml:space="preserve"> de hablantes.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Esto asegura que el sistema aísle de manera precisa las intervenciones procesales del imputado frente a las del juez o la fiscalía.</w:t>
      </w:r>
    </w:p>
    <w:p w14:paraId="25BEB412" w14:textId="7EAEB028" w:rsidR="00AF39F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Procesamiento </w:t>
      </w:r>
      <w:r w:rsidR="00390155">
        <w:rPr>
          <w:rFonts w:ascii="Google Sans" w:eastAsia="Google Sans" w:hAnsi="Google Sans" w:cs="Google Sans"/>
          <w:b/>
          <w:bCs/>
          <w:color w:val="1F1F1F"/>
        </w:rPr>
        <w:t>l</w:t>
      </w:r>
      <w:r>
        <w:rPr>
          <w:rFonts w:ascii="Google Sans" w:eastAsia="Google Sans" w:hAnsi="Google Sans" w:cs="Google Sans"/>
          <w:b/>
          <w:bCs/>
          <w:color w:val="1F1F1F"/>
        </w:rPr>
        <w:t xml:space="preserve">ingüístico y </w:t>
      </w:r>
      <w:r w:rsidR="00390155">
        <w:rPr>
          <w:rFonts w:ascii="Google Sans" w:eastAsia="Google Sans" w:hAnsi="Google Sans" w:cs="Google Sans"/>
          <w:b/>
          <w:bCs/>
          <w:color w:val="1F1F1F"/>
        </w:rPr>
        <w:t>a</w:t>
      </w:r>
      <w:r>
        <w:rPr>
          <w:rFonts w:ascii="Google Sans" w:eastAsia="Google Sans" w:hAnsi="Google Sans" w:cs="Google Sans"/>
          <w:b/>
          <w:bCs/>
          <w:color w:val="1F1F1F"/>
        </w:rPr>
        <w:t xml:space="preserve">cústico </w:t>
      </w:r>
      <w:r w:rsidR="00390155">
        <w:rPr>
          <w:rFonts w:ascii="Google Sans" w:eastAsia="Google Sans" w:hAnsi="Google Sans" w:cs="Google Sans"/>
          <w:b/>
          <w:bCs/>
          <w:color w:val="1F1F1F"/>
        </w:rPr>
        <w:t>e</w:t>
      </w:r>
      <w:r>
        <w:rPr>
          <w:rFonts w:ascii="Google Sans" w:eastAsia="Google Sans" w:hAnsi="Google Sans" w:cs="Google Sans"/>
          <w:b/>
          <w:bCs/>
          <w:color w:val="1F1F1F"/>
        </w:rPr>
        <w:t>specializado:</w:t>
      </w:r>
      <w:r>
        <w:rPr>
          <w:rFonts w:ascii="Google Sans" w:eastAsia="Google Sans" w:hAnsi="Google Sans" w:cs="Google Sans"/>
          <w:color w:val="1F1F1F"/>
        </w:rPr>
        <w:t xml:space="preserve"> El flujo de audio se extrae y se somete a sistemas de Reconocimiento Automático del Habla (ASR). Dada la especificidad del lenguaje en las audiencias, los modelos ASR genéricos resultan insuficientes. Es imperativo aplicar un ajuste fino (fine-</w:t>
      </w:r>
      <w:proofErr w:type="spellStart"/>
      <w:r>
        <w:rPr>
          <w:rFonts w:ascii="Google Sans" w:eastAsia="Google Sans" w:hAnsi="Google Sans" w:cs="Google Sans"/>
          <w:color w:val="1F1F1F"/>
        </w:rPr>
        <w:t>tuning</w:t>
      </w:r>
      <w:proofErr w:type="spellEnd"/>
      <w:r>
        <w:rPr>
          <w:rFonts w:ascii="Google Sans" w:eastAsia="Google Sans" w:hAnsi="Google Sans" w:cs="Google Sans"/>
          <w:color w:val="1F1F1F"/>
        </w:rPr>
        <w:t>) utilizando modelos de lenguaje personalizados (CLM) entrenados en vasta documentación legal y miles de horas de transcripciones judiciales humanas, construyendo un vocabulario a medida que integre n-gramas y jerga procesal.</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En paralelo, redes neuronales como ResNet50 analizan las propiedades paramétricas del audio (tono, pausas, temblores vocales) para identificar frecuencias asociadas a la tensión emocional.</w:t>
      </w:r>
      <w:r>
        <w:rPr>
          <w:rFonts w:ascii="Google Sans" w:eastAsia="Google Sans" w:hAnsi="Google Sans" w:cs="Google Sans"/>
          <w:color w:val="444746"/>
          <w:sz w:val="24"/>
          <w:szCs w:val="24"/>
          <w:vertAlign w:val="superscript"/>
        </w:rPr>
        <w:t>30</w:t>
      </w:r>
    </w:p>
    <w:p w14:paraId="200EDEFF" w14:textId="0245CF30" w:rsidR="00AF39F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Visión </w:t>
      </w:r>
      <w:r w:rsidR="00390155">
        <w:rPr>
          <w:rFonts w:ascii="Google Sans" w:eastAsia="Google Sans" w:hAnsi="Google Sans" w:cs="Google Sans"/>
          <w:b/>
          <w:bCs/>
          <w:color w:val="1F1F1F"/>
        </w:rPr>
        <w:t xml:space="preserve">por computadora y detección de </w:t>
      </w:r>
      <w:proofErr w:type="spellStart"/>
      <w:r w:rsidR="00390155">
        <w:rPr>
          <w:rFonts w:ascii="Google Sans" w:eastAsia="Google Sans" w:hAnsi="Google Sans" w:cs="Google Sans"/>
          <w:b/>
          <w:bCs/>
          <w:color w:val="1F1F1F"/>
        </w:rPr>
        <w:t>microexpresiones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La extracción de fotogramas clave debe operar a una resolución temporal lo suficientemente alta como para no omitir expresiones faciales que duran meras fracciones de segundo. Mediante el uso de herramientas de indexación cognitiva y modelos visuales integrados, el rostro del acusado es rastreado persistentemente.</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Se aplican algoritmos de reconocimiento de Unidades de Acción (</w:t>
      </w:r>
      <w:proofErr w:type="spellStart"/>
      <w:r>
        <w:rPr>
          <w:rFonts w:ascii="Google Sans" w:eastAsia="Google Sans" w:hAnsi="Google Sans" w:cs="Google Sans"/>
          <w:color w:val="1F1F1F"/>
        </w:rPr>
        <w:t>Action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Units</w:t>
      </w:r>
      <w:proofErr w:type="spellEnd"/>
      <w:r>
        <w:rPr>
          <w:rFonts w:ascii="Google Sans" w:eastAsia="Google Sans" w:hAnsi="Google Sans" w:cs="Google Sans"/>
          <w:color w:val="1F1F1F"/>
        </w:rPr>
        <w:t xml:space="preserve"> o </w:t>
      </w:r>
      <w:proofErr w:type="spellStart"/>
      <w:r>
        <w:rPr>
          <w:rFonts w:ascii="Google Sans" w:eastAsia="Google Sans" w:hAnsi="Google Sans" w:cs="Google Sans"/>
          <w:color w:val="1F1F1F"/>
        </w:rPr>
        <w:t>AUs</w:t>
      </w:r>
      <w:proofErr w:type="spellEnd"/>
      <w:r>
        <w:rPr>
          <w:rFonts w:ascii="Google Sans" w:eastAsia="Google Sans" w:hAnsi="Google Sans" w:cs="Google Sans"/>
          <w:color w:val="1F1F1F"/>
        </w:rPr>
        <w:t>) sobre mapas topológicos del rostro, cuantificando la intensidad de los grupos musculares en respuesta al interrogatorio.</w:t>
      </w:r>
      <w:r>
        <w:rPr>
          <w:rFonts w:ascii="Google Sans" w:eastAsia="Google Sans" w:hAnsi="Google Sans" w:cs="Google Sans"/>
          <w:color w:val="444746"/>
          <w:sz w:val="24"/>
          <w:szCs w:val="24"/>
          <w:vertAlign w:val="superscript"/>
        </w:rPr>
        <w:t>32</w:t>
      </w:r>
    </w:p>
    <w:p w14:paraId="758DA8E9" w14:textId="28F85CC7" w:rsidR="00AF39F1"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Fusión </w:t>
      </w:r>
      <w:r w:rsidR="00390155">
        <w:rPr>
          <w:rFonts w:ascii="Google Sans" w:eastAsia="Google Sans" w:hAnsi="Google Sans" w:cs="Google Sans"/>
          <w:b/>
          <w:bCs/>
          <w:color w:val="1F1F1F"/>
        </w:rPr>
        <w:t>vectorial y consultas híbridas</w:t>
      </w:r>
      <w:r>
        <w:rPr>
          <w:rFonts w:ascii="Google Sans" w:eastAsia="Google Sans" w:hAnsi="Google Sans" w:cs="Google Sans"/>
          <w:b/>
          <w:bCs/>
          <w:color w:val="1F1F1F"/>
        </w:rPr>
        <w:t>:</w:t>
      </w:r>
      <w:r>
        <w:rPr>
          <w:rFonts w:ascii="Google Sans" w:eastAsia="Google Sans" w:hAnsi="Google Sans" w:cs="Google Sans"/>
          <w:color w:val="1F1F1F"/>
        </w:rPr>
        <w:t xml:space="preserve"> Los vectores resultantes de las tres modalidades —texto transcrito, características acústicas y representaciones visuales— se incrustan (</w:t>
      </w:r>
      <w:proofErr w:type="spellStart"/>
      <w:r>
        <w:rPr>
          <w:rFonts w:ascii="Google Sans" w:eastAsia="Google Sans" w:hAnsi="Google Sans" w:cs="Google Sans"/>
          <w:color w:val="1F1F1F"/>
        </w:rPr>
        <w:t>embedding</w:t>
      </w:r>
      <w:proofErr w:type="spellEnd"/>
      <w:r>
        <w:rPr>
          <w:rFonts w:ascii="Google Sans" w:eastAsia="Google Sans" w:hAnsi="Google Sans" w:cs="Google Sans"/>
          <w:color w:val="1F1F1F"/>
        </w:rPr>
        <w:t xml:space="preserve">) en bases de datos vectoriales altamente escalables, como </w:t>
      </w:r>
      <w:proofErr w:type="spellStart"/>
      <w:r>
        <w:rPr>
          <w:rFonts w:ascii="Google Sans" w:eastAsia="Google Sans" w:hAnsi="Google Sans" w:cs="Google Sans"/>
          <w:color w:val="1F1F1F"/>
        </w:rPr>
        <w:t>Milvus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Databricks</w:t>
      </w:r>
      <w:proofErr w:type="spellEnd"/>
      <w:r>
        <w:rPr>
          <w:rFonts w:ascii="Google Sans" w:eastAsia="Google Sans" w:hAnsi="Google Sans" w:cs="Google Sans"/>
          <w:color w:val="1F1F1F"/>
        </w:rPr>
        <w:t xml:space="preserve"> Mosaic AI Vector Search o integraciones de Azure AI Search.</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Las arquitecturas híbridas Mamba-</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operan sobre estas representaciones unificadas, permitiendo que el modelo evalúe de manera holística la congruencia de las señales durante largos períodos de tiempo, respondiendo a la interrogante crítica sobre </w:t>
      </w:r>
      <w:r>
        <w:rPr>
          <w:rFonts w:ascii="Google Sans" w:eastAsia="Google Sans" w:hAnsi="Google Sans" w:cs="Google Sans"/>
          <w:color w:val="1F1F1F"/>
        </w:rPr>
        <w:lastRenderedPageBreak/>
        <w:t>la autenticidad del estado mental del procesado.</w:t>
      </w:r>
      <w:r>
        <w:rPr>
          <w:rFonts w:ascii="Google Sans" w:eastAsia="Google Sans" w:hAnsi="Google Sans" w:cs="Google Sans"/>
          <w:color w:val="444746"/>
          <w:sz w:val="24"/>
          <w:szCs w:val="24"/>
          <w:vertAlign w:val="superscript"/>
        </w:rPr>
        <w:t>18</w:t>
      </w:r>
    </w:p>
    <w:p w14:paraId="5695EF66" w14:textId="79152CE2" w:rsidR="00AF39F1" w:rsidRDefault="00000000">
      <w:pPr>
        <w:pStyle w:val="Ttulo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 xml:space="preserve">Fundamentos </w:t>
      </w:r>
      <w:r w:rsidR="00390155">
        <w:rPr>
          <w:rFonts w:ascii="Google Sans" w:eastAsia="Google Sans" w:hAnsi="Google Sans" w:cs="Google Sans"/>
          <w:color w:val="1F1F1F"/>
        </w:rPr>
        <w:t>biométricos y psicológicos: la detección multimodal del arrepentimiento</w:t>
      </w:r>
    </w:p>
    <w:p w14:paraId="510E0687"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núcleo analítico de la aplicación de estos modelos a 2,400 horas de audiencias judiciales reside en la capacidad computacional para discernir entre el arrepentimiento genuino y el fingido o fabricado instrumentalmente. Desde el prisma de la psicología forense, el arrepentimiento, la culpa y la contrición son emociones autoconscientes complejas; se originan cuando un individuo asume la responsabilidad de un acto ilícito que transgrede estándares morales o legales, generando un estado de turbulencia interna y un subsecuente deseo de reparación o restitución.</w:t>
      </w:r>
      <w:r>
        <w:rPr>
          <w:rFonts w:ascii="Google Sans" w:eastAsia="Google Sans" w:hAnsi="Google Sans" w:cs="Google Sans"/>
          <w:color w:val="444746"/>
          <w:sz w:val="24"/>
          <w:szCs w:val="24"/>
          <w:vertAlign w:val="superscript"/>
        </w:rPr>
        <w:t>35</w:t>
      </w:r>
    </w:p>
    <w:p w14:paraId="221D4728"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Sin embargo, las audiencias de sentencia, la vista pública o las declaraciones indagatorias constituyen escenarios de altísimo riesgo (</w:t>
      </w:r>
      <w:proofErr w:type="spellStart"/>
      <w:r>
        <w:rPr>
          <w:rFonts w:ascii="Google Sans" w:eastAsia="Google Sans" w:hAnsi="Google Sans" w:cs="Google Sans"/>
          <w:color w:val="1F1F1F"/>
        </w:rPr>
        <w:t>high-stakes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situations</w:t>
      </w:r>
      <w:proofErr w:type="spellEnd"/>
      <w:r>
        <w:rPr>
          <w:rFonts w:ascii="Google Sans" w:eastAsia="Google Sans" w:hAnsi="Google Sans" w:cs="Google Sans"/>
          <w:color w:val="1F1F1F"/>
        </w:rPr>
        <w:t>), en los cuales los imputados se enfrentan a la privación de su libertad.</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En tales contextos, la motivación para exhibir un arrepentimiento simulado con el propósito de obtener una atenuación de la pena es abrumadora. Las emociones sentidas internamente no siempre corresponden de manera unívoca con las expresiones externas mostradas, y una misma expresión puede ser el subproducto de distintas emociones subyacentes.</w:t>
      </w:r>
      <w:r>
        <w:rPr>
          <w:rFonts w:ascii="Google Sans" w:eastAsia="Google Sans" w:hAnsi="Google Sans" w:cs="Google Sans"/>
          <w:color w:val="444746"/>
          <w:sz w:val="24"/>
          <w:szCs w:val="24"/>
          <w:vertAlign w:val="superscript"/>
        </w:rPr>
        <w:t>37</w:t>
      </w:r>
    </w:p>
    <w:p w14:paraId="583F8267" w14:textId="773FF34E"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La </w:t>
      </w:r>
      <w:r w:rsidR="00390155">
        <w:rPr>
          <w:rFonts w:ascii="Google Sans" w:eastAsia="Google Sans" w:hAnsi="Google Sans" w:cs="Google Sans"/>
          <w:color w:val="1F1F1F"/>
        </w:rPr>
        <w:t>hipótesis de la fuga (</w:t>
      </w:r>
      <w:proofErr w:type="spellStart"/>
      <w:r w:rsidR="00390155">
        <w:rPr>
          <w:rFonts w:ascii="Google Sans" w:eastAsia="Google Sans" w:hAnsi="Google Sans" w:cs="Google Sans"/>
          <w:color w:val="1F1F1F"/>
        </w:rPr>
        <w:t>leakage</w:t>
      </w:r>
      <w:proofErr w:type="spellEnd"/>
      <w:r w:rsidR="00390155">
        <w:rPr>
          <w:rFonts w:ascii="Google Sans" w:eastAsia="Google Sans" w:hAnsi="Google Sans" w:cs="Google Sans"/>
          <w:color w:val="1F1F1F"/>
        </w:rPr>
        <w:t xml:space="preserve"> </w:t>
      </w:r>
      <w:proofErr w:type="spellStart"/>
      <w:r w:rsidR="00390155">
        <w:rPr>
          <w:rFonts w:ascii="Google Sans" w:eastAsia="Google Sans" w:hAnsi="Google Sans" w:cs="Google Sans"/>
          <w:color w:val="1F1F1F"/>
        </w:rPr>
        <w:t>theory</w:t>
      </w:r>
      <w:proofErr w:type="spellEnd"/>
      <w:r w:rsidR="00390155">
        <w:rPr>
          <w:rFonts w:ascii="Google Sans" w:eastAsia="Google Sans" w:hAnsi="Google Sans" w:cs="Google Sans"/>
          <w:color w:val="1F1F1F"/>
        </w:rPr>
        <w:t>) y la turbulencia emocional</w:t>
      </w:r>
    </w:p>
    <w:p w14:paraId="177A7E17"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engaño forense y la manipulación conductual exigen un esfuerzo cognitivo monumental. La "teoría de la fuga" o hipótesis del goteo (</w:t>
      </w:r>
      <w:proofErr w:type="spellStart"/>
      <w:r>
        <w:rPr>
          <w:rFonts w:ascii="Google Sans" w:eastAsia="Google Sans" w:hAnsi="Google Sans" w:cs="Google Sans"/>
          <w:color w:val="1F1F1F"/>
        </w:rPr>
        <w:t>leakage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theory</w:t>
      </w:r>
      <w:proofErr w:type="spellEnd"/>
      <w:r>
        <w:rPr>
          <w:rFonts w:ascii="Google Sans" w:eastAsia="Google Sans" w:hAnsi="Google Sans" w:cs="Google Sans"/>
          <w:color w:val="1F1F1F"/>
        </w:rPr>
        <w:t>) postula que, al intentar mantener una fachada engañosa, los individuos experimentan una carga cognitiva que inhibe el control absoluto sobre sus expresiones motoras autónomas.</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Emociones reprimidas —frecuentemente el miedo subyacente a ser descubierto, la ansiedad punitiva, o incluso el placer narcisista derivado de engañar con éxito a la autoridad (conocido como </w:t>
      </w:r>
      <w:proofErr w:type="spellStart"/>
      <w:r>
        <w:rPr>
          <w:rFonts w:ascii="Google Sans" w:eastAsia="Google Sans" w:hAnsi="Google Sans" w:cs="Google Sans"/>
          <w:color w:val="1F1F1F"/>
        </w:rPr>
        <w:t>duping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delight</w:t>
      </w:r>
      <w:proofErr w:type="spellEnd"/>
      <w:r>
        <w:rPr>
          <w:rFonts w:ascii="Google Sans" w:eastAsia="Google Sans" w:hAnsi="Google Sans" w:cs="Google Sans"/>
          <w:color w:val="1F1F1F"/>
        </w:rPr>
        <w:t>)— logran filtrarse a través del rostro del individuo.</w:t>
      </w:r>
      <w:r>
        <w:rPr>
          <w:rFonts w:ascii="Google Sans" w:eastAsia="Google Sans" w:hAnsi="Google Sans" w:cs="Google Sans"/>
          <w:color w:val="444746"/>
          <w:sz w:val="24"/>
          <w:szCs w:val="24"/>
          <w:vertAlign w:val="superscript"/>
        </w:rPr>
        <w:t>37</w:t>
      </w:r>
    </w:p>
    <w:p w14:paraId="5143F592"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Estas fugas emocionales se manifiestan predominantemente a través de </w:t>
      </w:r>
      <w:proofErr w:type="spellStart"/>
      <w:r>
        <w:rPr>
          <w:rFonts w:ascii="Google Sans" w:eastAsia="Google Sans" w:hAnsi="Google Sans" w:cs="Google Sans"/>
          <w:color w:val="1F1F1F"/>
        </w:rPr>
        <w:t>microexpresiones</w:t>
      </w:r>
      <w:proofErr w:type="spellEnd"/>
      <w:r>
        <w:rPr>
          <w:rFonts w:ascii="Google Sans" w:eastAsia="Google Sans" w:hAnsi="Google Sans" w:cs="Google Sans"/>
          <w:color w:val="1F1F1F"/>
        </w:rPr>
        <w:t>, contracciones faciales musculares totalmente involuntarias y fugaces que perduran apenas entre 1/25 y un quinto de segundo (menos de 0.50 segundos en promedio).</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A diferencia de los jurados humanos o incluso los jueces entrenados, cuya precisión heurística en la detección del engaño apenas supera el 54% estadístico de probabilidad ciega, los sistemas de inteligencia artificial operando sobre arquitecturas recurrentes de alta resolución pueden clasificar estas </w:t>
      </w:r>
      <w:proofErr w:type="spellStart"/>
      <w:r>
        <w:rPr>
          <w:rFonts w:ascii="Google Sans" w:eastAsia="Google Sans" w:hAnsi="Google Sans" w:cs="Google Sans"/>
          <w:color w:val="1F1F1F"/>
        </w:rPr>
        <w:t>microexpresiones</w:t>
      </w:r>
      <w:proofErr w:type="spellEnd"/>
      <w:r>
        <w:rPr>
          <w:rFonts w:ascii="Google Sans" w:eastAsia="Google Sans" w:hAnsi="Google Sans" w:cs="Google Sans"/>
          <w:color w:val="1F1F1F"/>
        </w:rPr>
        <w:t xml:space="preserve"> de manera objetiva.</w:t>
      </w:r>
      <w:r>
        <w:rPr>
          <w:rFonts w:ascii="Google Sans" w:eastAsia="Google Sans" w:hAnsi="Google Sans" w:cs="Google Sans"/>
          <w:color w:val="444746"/>
          <w:sz w:val="24"/>
          <w:szCs w:val="24"/>
          <w:vertAlign w:val="superscript"/>
        </w:rPr>
        <w:t>30</w:t>
      </w:r>
    </w:p>
    <w:p w14:paraId="3730CB3D"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Investigaciones exhaustivas han demostrado que los individuos que fabrican u ostentan </w:t>
      </w:r>
      <w:r>
        <w:rPr>
          <w:rFonts w:ascii="Google Sans" w:eastAsia="Google Sans" w:hAnsi="Google Sans" w:cs="Google Sans"/>
          <w:color w:val="1F1F1F"/>
        </w:rPr>
        <w:lastRenderedPageBreak/>
        <w:t>remordimiento fingido están sujetos a lo que la academia denomina "turbulencia emocional".</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Mientras que un acusado genuinamente arrepentido experimenta una transición emocional suave, transitando comúnmente desde estados negativos hacia la neutralidad antes de mostrar rasgos de positividad, aquellos que fingen realizan transiciones abruptas y directas entre las siete emociones universales (pasando de la felicidad simulada directamente a la tristeza forzada) sin transitar por estadios neutrales.</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Esta asincronía y vacilación en el comportamiento se convierte en un biomarcador altamente predictivo para el escrutinio de los modelos de aprendizaje profundo.</w:t>
      </w:r>
    </w:p>
    <w:p w14:paraId="65F1BDE5" w14:textId="75DF9FE4"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Taxonomía de las </w:t>
      </w:r>
      <w:r w:rsidR="00390155">
        <w:rPr>
          <w:rFonts w:ascii="Google Sans" w:eastAsia="Google Sans" w:hAnsi="Google Sans" w:cs="Google Sans"/>
          <w:color w:val="1F1F1F"/>
        </w:rPr>
        <w:t xml:space="preserve">unidades de acción facial </w:t>
      </w:r>
      <w:r>
        <w:rPr>
          <w:rFonts w:ascii="Google Sans" w:eastAsia="Google Sans" w:hAnsi="Google Sans" w:cs="Google Sans"/>
          <w:color w:val="1F1F1F"/>
        </w:rPr>
        <w:t>(</w:t>
      </w:r>
      <w:proofErr w:type="spellStart"/>
      <w:r>
        <w:rPr>
          <w:rFonts w:ascii="Google Sans" w:eastAsia="Google Sans" w:hAnsi="Google Sans" w:cs="Google Sans"/>
          <w:color w:val="1F1F1F"/>
        </w:rPr>
        <w:t>AUs</w:t>
      </w:r>
      <w:proofErr w:type="spellEnd"/>
      <w:r>
        <w:rPr>
          <w:rFonts w:ascii="Google Sans" w:eastAsia="Google Sans" w:hAnsi="Google Sans" w:cs="Google Sans"/>
          <w:color w:val="1F1F1F"/>
        </w:rPr>
        <w:t xml:space="preserve">) </w:t>
      </w:r>
      <w:r w:rsidR="00390155">
        <w:rPr>
          <w:rFonts w:ascii="Google Sans" w:eastAsia="Google Sans" w:hAnsi="Google Sans" w:cs="Google Sans"/>
          <w:color w:val="1F1F1F"/>
        </w:rPr>
        <w:t>asociadas al engaño</w:t>
      </w:r>
    </w:p>
    <w:p w14:paraId="060EF920"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El análisis automatizado decodifica la topografía facial utilizando el Sistema de Codificación de Acción Facial (FACS), que segmenta los movimientos musculares en Unidades de Acción específicas (</w:t>
      </w:r>
      <w:proofErr w:type="spellStart"/>
      <w:r>
        <w:rPr>
          <w:rFonts w:ascii="Google Sans" w:eastAsia="Google Sans" w:hAnsi="Google Sans" w:cs="Google Sans"/>
          <w:color w:val="1F1F1F"/>
        </w:rPr>
        <w:t>AUs</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La investigación forense sobre la detección algorítmica de comportamientos maliciosos futuros y engaño en declaraciones de alto riesgo ha aislado correlaciones estadísticas robustas.</w:t>
      </w:r>
    </w:p>
    <w:p w14:paraId="0777E891"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diferencia morfológica entre una sonrisa de contrición genuina y una sonrisa simulada se evidencia en la unidad AU6 (la contracción del músculo orbicular de los párpados, característica de la sonrisa de Duchenne), la cual frecuentemente está ausente en expresiones faciales fabricadas, donde únicamente se activa de manera voluntaria la unidad AU12 (la tracción de la comisura de los labios).</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Asimismo, la presencia intermitente de las unidades AU1 y AU2 (elevación de las cejas frontales) y de la unidad AU4 (depresión superciliar) está fuertemente correlacionada con fugas de miedo y estrés.</w:t>
      </w:r>
      <w:r>
        <w:rPr>
          <w:rFonts w:ascii="Google Sans" w:eastAsia="Google Sans" w:hAnsi="Google Sans" w:cs="Google Sans"/>
          <w:color w:val="444746"/>
          <w:sz w:val="24"/>
          <w:szCs w:val="24"/>
          <w:vertAlign w:val="superscript"/>
        </w:rPr>
        <w:t>39</w:t>
      </w:r>
      <w:r>
        <w:rPr>
          <w:rFonts w:ascii="Google Sans" w:eastAsia="Google Sans" w:hAnsi="Google Sans" w:cs="Google Sans"/>
          <w:color w:val="1F1F1F"/>
        </w:rPr>
        <w:t xml:space="preserve"> El esfuerzo consciente por reprimir las emociones verdaderas suele resultar en una disminución perceptible del parpadeo ocular regular (AU45) y una </w:t>
      </w:r>
      <w:proofErr w:type="spellStart"/>
      <w:r>
        <w:rPr>
          <w:rFonts w:ascii="Google Sans" w:eastAsia="Google Sans" w:hAnsi="Google Sans" w:cs="Google Sans"/>
          <w:color w:val="1F1F1F"/>
        </w:rPr>
        <w:t>rigidización</w:t>
      </w:r>
      <w:proofErr w:type="spellEnd"/>
      <w:r>
        <w:rPr>
          <w:rFonts w:ascii="Google Sans" w:eastAsia="Google Sans" w:hAnsi="Google Sans" w:cs="Google Sans"/>
          <w:color w:val="1F1F1F"/>
        </w:rPr>
        <w:t xml:space="preserve"> de la región </w:t>
      </w:r>
      <w:proofErr w:type="spellStart"/>
      <w:r>
        <w:rPr>
          <w:rFonts w:ascii="Google Sans" w:eastAsia="Google Sans" w:hAnsi="Google Sans" w:cs="Google Sans"/>
          <w:color w:val="1F1F1F"/>
        </w:rPr>
        <w:t>perioral</w:t>
      </w:r>
      <w:proofErr w:type="spellEnd"/>
      <w:r>
        <w:rPr>
          <w:rFonts w:ascii="Google Sans" w:eastAsia="Google Sans" w:hAnsi="Google Sans" w:cs="Google Sans"/>
          <w:color w:val="1F1F1F"/>
        </w:rPr>
        <w:t xml:space="preserve"> inferior (AU14 y AU23).</w:t>
      </w:r>
      <w:r>
        <w:rPr>
          <w:rFonts w:ascii="Google Sans" w:eastAsia="Google Sans" w:hAnsi="Google Sans" w:cs="Google Sans"/>
          <w:color w:val="444746"/>
          <w:sz w:val="24"/>
          <w:szCs w:val="24"/>
          <w:vertAlign w:val="superscript"/>
        </w:rPr>
        <w:t>39</w:t>
      </w:r>
    </w:p>
    <w:p w14:paraId="1E21AF09" w14:textId="77777777" w:rsidR="00AF39F1" w:rsidRDefault="00AF39F1">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F39F1" w14:paraId="54D3C97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4B421"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Unidad de Acción Facial (AU)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F10E2"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Denominación Anatómica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77F18"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Relevancia Biométrica en la Evaluación Forense y Detección de Engaño</w:t>
            </w:r>
          </w:p>
        </w:tc>
      </w:tr>
      <w:tr w:rsidR="00AF39F1" w14:paraId="5504F42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566FF"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AD3362"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Depresor Superciliar (Cejas)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8FBE9" w14:textId="77777777" w:rsidR="00AF39F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Su contracción asimétrica indica fugas de miedo reprimido y alta carga estresante.</w:t>
            </w:r>
            <w:r>
              <w:rPr>
                <w:rFonts w:ascii="Google Sans" w:eastAsia="Google Sans" w:hAnsi="Google Sans" w:cs="Google Sans"/>
                <w:color w:val="444746"/>
                <w:sz w:val="24"/>
                <w:szCs w:val="24"/>
                <w:vertAlign w:val="superscript"/>
              </w:rPr>
              <w:t>39</w:t>
            </w:r>
          </w:p>
        </w:tc>
      </w:tr>
      <w:tr w:rsidR="00AF39F1" w14:paraId="107D8D4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178C8E"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7FE40"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Orbicular de los Párpados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1AED8" w14:textId="77777777" w:rsidR="00AF39F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Ausente en simulaciones emocionales; su presencia </w:t>
            </w:r>
            <w:r>
              <w:rPr>
                <w:rFonts w:ascii="Google Sans" w:eastAsia="Google Sans" w:hAnsi="Google Sans" w:cs="Google Sans"/>
                <w:color w:val="1F1F1F"/>
              </w:rPr>
              <w:lastRenderedPageBreak/>
              <w:t>distingue la empatía genuina (Duchenne).</w:t>
            </w:r>
            <w:r>
              <w:rPr>
                <w:rFonts w:ascii="Google Sans" w:eastAsia="Google Sans" w:hAnsi="Google Sans" w:cs="Google Sans"/>
                <w:color w:val="444746"/>
                <w:sz w:val="24"/>
                <w:szCs w:val="24"/>
                <w:vertAlign w:val="superscript"/>
              </w:rPr>
              <w:t>43</w:t>
            </w:r>
          </w:p>
        </w:tc>
      </w:tr>
      <w:tr w:rsidR="00AF39F1" w14:paraId="18F8999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0C8F6"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AU12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A50BF"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Cigomático Mayor (Labios)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87EE3" w14:textId="77777777" w:rsidR="00AF39F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 aparece aislado, sin la conjunción del AU6, constituye un marcador primario de emoción fabricada.</w:t>
            </w:r>
            <w:r>
              <w:rPr>
                <w:rFonts w:ascii="Google Sans" w:eastAsia="Google Sans" w:hAnsi="Google Sans" w:cs="Google Sans"/>
                <w:color w:val="444746"/>
                <w:sz w:val="24"/>
                <w:szCs w:val="24"/>
                <w:vertAlign w:val="superscript"/>
              </w:rPr>
              <w:t>39</w:t>
            </w:r>
          </w:p>
        </w:tc>
      </w:tr>
      <w:tr w:rsidR="00AF39F1" w14:paraId="5A55869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90881"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AU14 / AU23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7FDC1"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Hoyuelos y </w:t>
            </w:r>
            <w:proofErr w:type="spellStart"/>
            <w:r>
              <w:rPr>
                <w:rFonts w:ascii="Google Sans" w:eastAsia="Google Sans" w:hAnsi="Google Sans" w:cs="Google Sans"/>
                <w:color w:val="1F1F1F"/>
              </w:rPr>
              <w:t>Tensadores</w:t>
            </w:r>
            <w:proofErr w:type="spellEnd"/>
            <w:r>
              <w:rPr>
                <w:rFonts w:ascii="Google Sans" w:eastAsia="Google Sans" w:hAnsi="Google Sans" w:cs="Google Sans"/>
                <w:color w:val="1F1F1F"/>
              </w:rPr>
              <w:t xml:space="preserve"> de Labios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E9421" w14:textId="77777777" w:rsidR="00AF39F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restricción en la movilidad de estas unidades indica un esfuerzo deliberado por contener la expresión verbal.</w:t>
            </w:r>
            <w:r>
              <w:rPr>
                <w:rFonts w:ascii="Google Sans" w:eastAsia="Google Sans" w:hAnsi="Google Sans" w:cs="Google Sans"/>
                <w:color w:val="444746"/>
                <w:sz w:val="24"/>
                <w:szCs w:val="24"/>
                <w:vertAlign w:val="superscript"/>
              </w:rPr>
              <w:t>40</w:t>
            </w:r>
          </w:p>
        </w:tc>
      </w:tr>
      <w:tr w:rsidR="00AF39F1" w14:paraId="62458C6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9F999"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AU45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91DC6" w14:textId="77777777" w:rsidR="00AF39F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Parpadeo Ocular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821CD" w14:textId="77777777" w:rsidR="00AF39F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reducción drástica de la tasa basal de parpadeo denota un secuestro de los recursos cognitivos para sostener la falacia.</w:t>
            </w:r>
            <w:r>
              <w:rPr>
                <w:rFonts w:ascii="Google Sans" w:eastAsia="Google Sans" w:hAnsi="Google Sans" w:cs="Google Sans"/>
                <w:color w:val="444746"/>
                <w:sz w:val="24"/>
                <w:szCs w:val="24"/>
                <w:vertAlign w:val="superscript"/>
              </w:rPr>
              <w:t>39</w:t>
            </w:r>
          </w:p>
        </w:tc>
      </w:tr>
    </w:tbl>
    <w:p w14:paraId="2127A6C8" w14:textId="765D8FF9"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La </w:t>
      </w:r>
      <w:r w:rsidR="00390155">
        <w:rPr>
          <w:rFonts w:ascii="Google Sans" w:eastAsia="Google Sans" w:hAnsi="Google Sans" w:cs="Google Sans"/>
          <w:color w:val="1F1F1F"/>
        </w:rPr>
        <w:t>t</w:t>
      </w:r>
      <w:r>
        <w:rPr>
          <w:rFonts w:ascii="Google Sans" w:eastAsia="Google Sans" w:hAnsi="Google Sans" w:cs="Google Sans"/>
          <w:color w:val="1F1F1F"/>
        </w:rPr>
        <w:t xml:space="preserve">riangulación </w:t>
      </w:r>
      <w:r w:rsidR="00390155">
        <w:rPr>
          <w:rFonts w:ascii="Google Sans" w:eastAsia="Google Sans" w:hAnsi="Google Sans" w:cs="Google Sans"/>
          <w:color w:val="1F1F1F"/>
        </w:rPr>
        <w:t>m</w:t>
      </w:r>
      <w:r>
        <w:rPr>
          <w:rFonts w:ascii="Google Sans" w:eastAsia="Google Sans" w:hAnsi="Google Sans" w:cs="Google Sans"/>
          <w:color w:val="1F1F1F"/>
        </w:rPr>
        <w:t xml:space="preserve">ultimodal: El </w:t>
      </w:r>
      <w:r w:rsidR="00390155">
        <w:rPr>
          <w:rFonts w:ascii="Google Sans" w:eastAsia="Google Sans" w:hAnsi="Google Sans" w:cs="Google Sans"/>
          <w:color w:val="1F1F1F"/>
        </w:rPr>
        <w:t>m</w:t>
      </w:r>
      <w:r>
        <w:rPr>
          <w:rFonts w:ascii="Google Sans" w:eastAsia="Google Sans" w:hAnsi="Google Sans" w:cs="Google Sans"/>
          <w:color w:val="1F1F1F"/>
        </w:rPr>
        <w:t xml:space="preserve">odelo </w:t>
      </w:r>
      <w:proofErr w:type="spellStart"/>
      <w:r>
        <w:rPr>
          <w:rFonts w:ascii="Google Sans" w:eastAsia="Google Sans" w:hAnsi="Google Sans" w:cs="Google Sans"/>
          <w:color w:val="1F1F1F"/>
        </w:rPr>
        <w:t>LegalEye</w:t>
      </w:r>
      <w:proofErr w:type="spellEnd"/>
    </w:p>
    <w:p w14:paraId="093600F4"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Para evitar los sesgos de la modalidad única y el riesgo de falsos positivos en diagnósticos basados puramente en biometría visual, los sistemas forenses contemporáneos exigen integración. Proyectos empíricos aplicados directamente a videos de juicios reales —donde la verdad judicial (</w:t>
      </w:r>
      <w:proofErr w:type="spellStart"/>
      <w:r>
        <w:rPr>
          <w:rFonts w:ascii="Google Sans" w:eastAsia="Google Sans" w:hAnsi="Google Sans" w:cs="Google Sans"/>
          <w:color w:val="1F1F1F"/>
        </w:rPr>
        <w:t>ground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truth</w:t>
      </w:r>
      <w:proofErr w:type="spellEnd"/>
      <w:r>
        <w:rPr>
          <w:rFonts w:ascii="Google Sans" w:eastAsia="Google Sans" w:hAnsi="Google Sans" w:cs="Google Sans"/>
          <w:color w:val="1F1F1F"/>
        </w:rPr>
        <w:t xml:space="preserve">) fue validada a posteriori por veredictos y sentencias finales— han demostrado la eficacia de esta metodología. El sistema </w:t>
      </w:r>
      <w:proofErr w:type="spellStart"/>
      <w:r>
        <w:rPr>
          <w:rFonts w:ascii="Google Sans" w:eastAsia="Google Sans" w:hAnsi="Google Sans" w:cs="Google Sans"/>
          <w:color w:val="1F1F1F"/>
        </w:rPr>
        <w:t>LegalEye</w:t>
      </w:r>
      <w:proofErr w:type="spellEnd"/>
      <w:r>
        <w:rPr>
          <w:rFonts w:ascii="Google Sans" w:eastAsia="Google Sans" w:hAnsi="Google Sans" w:cs="Google Sans"/>
          <w:color w:val="1F1F1F"/>
        </w:rPr>
        <w:t xml:space="preserve">, por ejemplo, extrae características lingüísticas analizando los patrones de pronombres y la frecuencia de terminología usando modelos como </w:t>
      </w:r>
      <w:proofErr w:type="spellStart"/>
      <w:r>
        <w:rPr>
          <w:rFonts w:ascii="Google Sans" w:eastAsia="Google Sans" w:hAnsi="Google Sans" w:cs="Google Sans"/>
          <w:color w:val="1F1F1F"/>
        </w:rPr>
        <w:t>BiLSTM</w:t>
      </w:r>
      <w:proofErr w:type="spellEnd"/>
      <w:r>
        <w:rPr>
          <w:rFonts w:ascii="Google Sans" w:eastAsia="Google Sans" w:hAnsi="Google Sans" w:cs="Google Sans"/>
          <w:color w:val="1F1F1F"/>
        </w:rPr>
        <w:t>; suma características acústicas procesando la tensión de las cuerdas vocales mediante arquitectura ResNet50; y amalgama esto con mapas de Unidades de Acción extraídos de la región facial.</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Utilizando una fusión tardía y mecanismos de votación mayoritaria sobre los vectores, estos modelos han alcanzado un 83.05% de precisión en la clasificación del engaño a nivel de sujeto dentro de los tribunales de justicia, dejando obsoletas las capacidades de evaluación humana no asistida.</w:t>
      </w:r>
      <w:r>
        <w:rPr>
          <w:rFonts w:ascii="Google Sans" w:eastAsia="Google Sans" w:hAnsi="Google Sans" w:cs="Google Sans"/>
          <w:color w:val="444746"/>
          <w:sz w:val="24"/>
          <w:szCs w:val="24"/>
          <w:vertAlign w:val="superscript"/>
        </w:rPr>
        <w:t>31</w:t>
      </w:r>
    </w:p>
    <w:p w14:paraId="77CF5040" w14:textId="263EA8C3"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Perspectiva de </w:t>
      </w:r>
      <w:r w:rsidR="00390155">
        <w:rPr>
          <w:rFonts w:ascii="Google Sans" w:eastAsia="Google Sans" w:hAnsi="Google Sans" w:cs="Google Sans"/>
          <w:color w:val="1F1F1F"/>
        </w:rPr>
        <w:t>derecho comparado: admisibilidad probatoria y límites ético-legales</w:t>
      </w:r>
    </w:p>
    <w:p w14:paraId="6746AF9E"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viabilidad técnica de analizar 2,400 horas de video con arquitecturas Mamba híbridas y extraer métricas de arrepentimiento con un 83% de certeza científica no equivale a su </w:t>
      </w:r>
      <w:r>
        <w:rPr>
          <w:rFonts w:ascii="Google Sans" w:eastAsia="Google Sans" w:hAnsi="Google Sans" w:cs="Google Sans"/>
          <w:color w:val="1F1F1F"/>
        </w:rPr>
        <w:lastRenderedPageBreak/>
        <w:t>admisibilidad jurídica inmediata. La inserción de la inteligencia artificial inferencial en los tribunales de justicia altera el delicado equilibrio de la dogmática penal, las garantías procesales, el derecho a un juicio justo y la concepción humanística de la individualización de la pena. La exploración de esta tecnología debe enmarcarse estrictamente dentro del derecho comparado, evaluando la respuesta de las principales tradiciones jurídicas occidentales.</w:t>
      </w:r>
    </w:p>
    <w:p w14:paraId="1DCC30B8" w14:textId="5807E5E2"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España y la </w:t>
      </w:r>
      <w:r w:rsidR="00390155">
        <w:rPr>
          <w:rFonts w:ascii="Google Sans" w:eastAsia="Google Sans" w:hAnsi="Google Sans" w:cs="Google Sans"/>
          <w:color w:val="1F1F1F"/>
        </w:rPr>
        <w:t>atenuante de arrepentimiento espontáneo</w:t>
      </w:r>
    </w:p>
    <w:p w14:paraId="3D75C109"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En el marco normativo de España, el arrepentimiento del acusado goza de una cristalización legislativa precisa dentro de la teoría del delito y la pena. El artículo 21 del Código Penal español establece en sus apartados 4 y 5 circunstancias atenuantes que operan sobre la base del comportamiento </w:t>
      </w:r>
      <w:proofErr w:type="spellStart"/>
      <w:r>
        <w:rPr>
          <w:rFonts w:ascii="Google Sans" w:eastAsia="Google Sans" w:hAnsi="Google Sans" w:cs="Google Sans"/>
          <w:color w:val="1F1F1F"/>
        </w:rPr>
        <w:t>postdelictivo</w:t>
      </w:r>
      <w:proofErr w:type="spellEnd"/>
      <w:r>
        <w:rPr>
          <w:rFonts w:ascii="Google Sans" w:eastAsia="Google Sans" w:hAnsi="Google Sans" w:cs="Google Sans"/>
          <w:color w:val="1F1F1F"/>
        </w:rPr>
        <w:t xml:space="preserve"> del infractor.</w:t>
      </w:r>
      <w:r>
        <w:rPr>
          <w:rFonts w:ascii="Google Sans" w:eastAsia="Google Sans" w:hAnsi="Google Sans" w:cs="Google Sans"/>
          <w:color w:val="444746"/>
          <w:sz w:val="24"/>
          <w:szCs w:val="24"/>
          <w:vertAlign w:val="superscript"/>
        </w:rPr>
        <w:t>45</w:t>
      </w:r>
      <w:r>
        <w:rPr>
          <w:rFonts w:ascii="Google Sans" w:eastAsia="Google Sans" w:hAnsi="Google Sans" w:cs="Google Sans"/>
          <w:color w:val="1F1F1F"/>
        </w:rPr>
        <w:t xml:space="preserve"> Específicamente, se atenúa la responsabilidad penal de quien confiese la infracción a las autoridades antes de conocer que el procedimiento judicial se dirige contra él, y de aquel que haya procedido voluntariamente a reparar o disminuir los efectos materiales y morales del daño.</w:t>
      </w:r>
      <w:r>
        <w:rPr>
          <w:rFonts w:ascii="Google Sans" w:eastAsia="Google Sans" w:hAnsi="Google Sans" w:cs="Google Sans"/>
          <w:color w:val="444746"/>
          <w:sz w:val="24"/>
          <w:szCs w:val="24"/>
          <w:vertAlign w:val="superscript"/>
        </w:rPr>
        <w:t>45</w:t>
      </w:r>
    </w:p>
    <w:p w14:paraId="697B46F7"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jurisprudencia emanada del Tribunal Supremo español y la doctrina penal contemporánea han concentrado la apreciación de estas atenuantes no en el fuero interno inescrutable del sentimiento moral, sino en la </w:t>
      </w:r>
      <w:r>
        <w:rPr>
          <w:rFonts w:ascii="Google Sans" w:eastAsia="Google Sans" w:hAnsi="Google Sans" w:cs="Google Sans"/>
          <w:i/>
          <w:iCs/>
          <w:color w:val="1F1F1F"/>
        </w:rPr>
        <w:t>voluntariedad</w:t>
      </w:r>
      <w:r>
        <w:rPr>
          <w:rFonts w:ascii="Google Sans" w:eastAsia="Google Sans" w:hAnsi="Google Sans" w:cs="Google Sans"/>
          <w:color w:val="1F1F1F"/>
        </w:rPr>
        <w:t xml:space="preserve"> objetiva de la conducta y en los efectos restauradores de la misma.</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El arrepentimiento activo (posterior a la consumación del delito) requiere una colaboración proactiva con la justicia y la satisfacción de la víctima.</w:t>
      </w:r>
      <w:r>
        <w:rPr>
          <w:rFonts w:ascii="Google Sans" w:eastAsia="Google Sans" w:hAnsi="Google Sans" w:cs="Google Sans"/>
          <w:color w:val="444746"/>
          <w:sz w:val="24"/>
          <w:szCs w:val="24"/>
          <w:vertAlign w:val="superscript"/>
        </w:rPr>
        <w:t>45</w:t>
      </w:r>
      <w:r>
        <w:rPr>
          <w:rFonts w:ascii="Google Sans" w:eastAsia="Google Sans" w:hAnsi="Google Sans" w:cs="Google Sans"/>
          <w:color w:val="1F1F1F"/>
        </w:rPr>
        <w:t xml:space="preserve"> En este contexto, la introducción de un sistema de inteligencia artificial que analice la declaración del acusado introduce una disonancia: si el algoritmo dictamina, con base en </w:t>
      </w:r>
      <w:proofErr w:type="spellStart"/>
      <w:r>
        <w:rPr>
          <w:rFonts w:ascii="Google Sans" w:eastAsia="Google Sans" w:hAnsi="Google Sans" w:cs="Google Sans"/>
          <w:color w:val="1F1F1F"/>
        </w:rPr>
        <w:t>microexpresiones</w:t>
      </w:r>
      <w:proofErr w:type="spellEnd"/>
      <w:r>
        <w:rPr>
          <w:rFonts w:ascii="Google Sans" w:eastAsia="Google Sans" w:hAnsi="Google Sans" w:cs="Google Sans"/>
          <w:color w:val="1F1F1F"/>
        </w:rPr>
        <w:t xml:space="preserve"> y análisis prosódico, que la confesión o la petición de disculpas del acusado fue fría, calculada o fingida, ¿invalida esto la atenuante? Si el tribunal asume que el comportamiento careció de "voluntariedad genuina" debido al dictamen algorítmico, el software dejaría de ser una herramienta administrativa para convertirse en un perito de cargo que influye directamente en la dosimetría penal.</w:t>
      </w:r>
    </w:p>
    <w:p w14:paraId="395E639F"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legislación española se encuentra además subsumida en el restrictivo ecosistema regulatorio europeo. El reciente Reglamento de Inteligencia Artificial de la Unión Europea (AI </w:t>
      </w:r>
      <w:proofErr w:type="spellStart"/>
      <w:r>
        <w:rPr>
          <w:rFonts w:ascii="Google Sans" w:eastAsia="Google Sans" w:hAnsi="Google Sans" w:cs="Google Sans"/>
          <w:color w:val="1F1F1F"/>
        </w:rPr>
        <w:t>Act</w:t>
      </w:r>
      <w:proofErr w:type="spellEnd"/>
      <w:r>
        <w:rPr>
          <w:rFonts w:ascii="Google Sans" w:eastAsia="Google Sans" w:hAnsi="Google Sans" w:cs="Google Sans"/>
          <w:color w:val="1F1F1F"/>
        </w:rPr>
        <w:t>, Reglamento UE 2024/1689) clasifica de manera inequívoca los sistemas de inteligencia artificial empleados en la administración de justicia y en la aplicación de la ley como sistemas de "alto riesgo".</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xml:space="preserve"> Esta categorización impone deberes severos de transparencia, supervisión humana ineludible y mitigación proactiva de sesgos algorítmicos.</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xml:space="preserve"> Más aún, el reglamento prohíbe explícitamente el uso de IA para inferir emociones en determinados contextos policiales y restringe severamente el reconocimiento biométrico en tiempo real, lo que establece una fuerte presunción legal en contra de sistemas que pretendan evaluar la psicología del imputado en estrados.</w:t>
      </w:r>
      <w:r>
        <w:rPr>
          <w:rFonts w:ascii="Google Sans" w:eastAsia="Google Sans" w:hAnsi="Google Sans" w:cs="Google Sans"/>
          <w:color w:val="444746"/>
          <w:sz w:val="24"/>
          <w:szCs w:val="24"/>
          <w:vertAlign w:val="superscript"/>
        </w:rPr>
        <w:t>49</w:t>
      </w:r>
    </w:p>
    <w:p w14:paraId="7520A832"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Un caso emblemático de la aplicación de estos límites en España ocurrió en el año 2023. Se propuso la implementación de un proyecto piloto en el Centro Penitenciario Mas </w:t>
      </w:r>
      <w:proofErr w:type="spellStart"/>
      <w:r>
        <w:rPr>
          <w:rFonts w:ascii="Google Sans" w:eastAsia="Google Sans" w:hAnsi="Google Sans" w:cs="Google Sans"/>
          <w:color w:val="1F1F1F"/>
        </w:rPr>
        <w:t>d'Enric</w:t>
      </w:r>
      <w:proofErr w:type="spellEnd"/>
      <w:r>
        <w:rPr>
          <w:rFonts w:ascii="Google Sans" w:eastAsia="Google Sans" w:hAnsi="Google Sans" w:cs="Google Sans"/>
          <w:color w:val="1F1F1F"/>
        </w:rPr>
        <w:t xml:space="preserve">, en </w:t>
      </w:r>
      <w:r>
        <w:rPr>
          <w:rFonts w:ascii="Google Sans" w:eastAsia="Google Sans" w:hAnsi="Google Sans" w:cs="Google Sans"/>
          <w:color w:val="1F1F1F"/>
        </w:rPr>
        <w:lastRenderedPageBreak/>
        <w:t>Tarragona, con el propósito de utilizar inteligencia artificial conectada a las cámaras de vigilancia internas para analizar las expresiones faciales y el lenguaje corporal de los internos.</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xml:space="preserve"> El objetivo era predecir riesgos conductuales y clasificar a los reclusos para la concesión de permisos y beneficios penitenciarios; no obstante, el proyecto fue paralizado abruptamente poco antes de su despliegue, motivado precisamente por la inminente aprobación del Reglamento Europeo de IA y el potencial riesgo de vulnerar derechos fundamentales sin la comisión previa de una infracción disciplinaria.</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xml:space="preserve"> En contraste, la administración española sí admite herramientas clínico-actuariales algorítmicas de evaluación de riesgo basadas en historiales estáticos, como el sistema </w:t>
      </w:r>
      <w:proofErr w:type="spellStart"/>
      <w:r>
        <w:rPr>
          <w:rFonts w:ascii="Google Sans" w:eastAsia="Google Sans" w:hAnsi="Google Sans" w:cs="Google Sans"/>
          <w:i/>
          <w:iCs/>
          <w:color w:val="1F1F1F"/>
        </w:rPr>
        <w:t>RisCanvi</w:t>
      </w:r>
      <w:proofErr w:type="spellEnd"/>
      <w:r>
        <w:rPr>
          <w:rFonts w:ascii="Google Sans" w:eastAsia="Google Sans" w:hAnsi="Google Sans" w:cs="Google Sans"/>
          <w:color w:val="1F1F1F"/>
        </w:rPr>
        <w:t xml:space="preserve"> en el sistema penitenciario catalán (que evalúa el riesgo de reincidencia basándose en datos introducidos por equipos psicosociales) y el sistema </w:t>
      </w:r>
      <w:proofErr w:type="spellStart"/>
      <w:r>
        <w:rPr>
          <w:rFonts w:ascii="Google Sans" w:eastAsia="Google Sans" w:hAnsi="Google Sans" w:cs="Google Sans"/>
          <w:i/>
          <w:iCs/>
          <w:color w:val="1F1F1F"/>
        </w:rPr>
        <w:t>VioGén</w:t>
      </w:r>
      <w:proofErr w:type="spellEnd"/>
      <w:r>
        <w:rPr>
          <w:rFonts w:ascii="Google Sans" w:eastAsia="Google Sans" w:hAnsi="Google Sans" w:cs="Google Sans"/>
          <w:color w:val="1F1F1F"/>
        </w:rPr>
        <w:t xml:space="preserve"> a nivel nacional para predecir la reiteración de violencia de género, aunque ambos continúan siendo objeto de debate por su relativa opacidad.</w:t>
      </w:r>
      <w:r>
        <w:rPr>
          <w:rFonts w:ascii="Google Sans" w:eastAsia="Google Sans" w:hAnsi="Google Sans" w:cs="Google Sans"/>
          <w:color w:val="444746"/>
          <w:sz w:val="24"/>
          <w:szCs w:val="24"/>
          <w:vertAlign w:val="superscript"/>
        </w:rPr>
        <w:t>47</w:t>
      </w:r>
    </w:p>
    <w:p w14:paraId="00E1736A" w14:textId="3A2C597A"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La </w:t>
      </w:r>
      <w:r w:rsidR="00390155">
        <w:rPr>
          <w:rFonts w:ascii="Google Sans" w:eastAsia="Google Sans" w:hAnsi="Google Sans" w:cs="Google Sans"/>
          <w:color w:val="1F1F1F"/>
        </w:rPr>
        <w:t>p</w:t>
      </w:r>
      <w:r>
        <w:rPr>
          <w:rFonts w:ascii="Google Sans" w:eastAsia="Google Sans" w:hAnsi="Google Sans" w:cs="Google Sans"/>
          <w:color w:val="1F1F1F"/>
        </w:rPr>
        <w:t>ostura del Tribunal Europeo de Derechos Humanos (TEDH)</w:t>
      </w:r>
    </w:p>
    <w:p w14:paraId="641556B0"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nivel continental, el Tribunal Europeo de Derechos Humanos (TEDH) desempeña un rol tutelar sobre el uso de tecnologías disruptivas que amenacen las libertades consagradas en el Convenio Europeo de Derechos Humanos (CEDH). Siguiendo la doctrina del Convenio como un "instrumento vivo" (</w:t>
      </w:r>
      <w:proofErr w:type="gramStart"/>
      <w:r>
        <w:rPr>
          <w:rFonts w:ascii="Google Sans" w:eastAsia="Google Sans" w:hAnsi="Google Sans" w:cs="Google Sans"/>
          <w:color w:val="1F1F1F"/>
        </w:rPr>
        <w:t>living</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instrument</w:t>
      </w:r>
      <w:proofErr w:type="spellEnd"/>
      <w:r>
        <w:rPr>
          <w:rFonts w:ascii="Google Sans" w:eastAsia="Google Sans" w:hAnsi="Google Sans" w:cs="Google Sans"/>
          <w:color w:val="1F1F1F"/>
        </w:rPr>
        <w:t xml:space="preserve"> doctrine), el Tribunal adapta sus interpretaciones a las realidades tecnológicas, aunque su naturaleza reactiva implica que su jurisprudencia sobre inteligencia artificial apenas comienza a forjarse, reaccionando a las aplicaciones nacionales previas.</w:t>
      </w:r>
      <w:r>
        <w:rPr>
          <w:rFonts w:ascii="Google Sans" w:eastAsia="Google Sans" w:hAnsi="Google Sans" w:cs="Google Sans"/>
          <w:color w:val="444746"/>
          <w:sz w:val="24"/>
          <w:szCs w:val="24"/>
          <w:vertAlign w:val="superscript"/>
        </w:rPr>
        <w:t>50</w:t>
      </w:r>
    </w:p>
    <w:p w14:paraId="21AB8C16"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pronunciamiento más esclarecedor hasta la fecha ocurrió en el caso </w:t>
      </w:r>
      <w:proofErr w:type="spellStart"/>
      <w:r>
        <w:rPr>
          <w:rFonts w:ascii="Google Sans" w:eastAsia="Google Sans" w:hAnsi="Google Sans" w:cs="Google Sans"/>
          <w:i/>
          <w:iCs/>
          <w:color w:val="1F1F1F"/>
        </w:rPr>
        <w:t>Glukhin</w:t>
      </w:r>
      <w:proofErr w:type="spellEnd"/>
      <w:r>
        <w:rPr>
          <w:rFonts w:ascii="Google Sans" w:eastAsia="Google Sans" w:hAnsi="Google Sans" w:cs="Google Sans"/>
          <w:i/>
          <w:iCs/>
          <w:color w:val="1F1F1F"/>
        </w:rPr>
        <w:t xml:space="preserve"> v. Rusia</w:t>
      </w:r>
      <w:r>
        <w:rPr>
          <w:rFonts w:ascii="Google Sans" w:eastAsia="Google Sans" w:hAnsi="Google Sans" w:cs="Google Sans"/>
          <w:color w:val="1F1F1F"/>
        </w:rPr>
        <w:t xml:space="preserve"> (fallado en julio de 2023). El caso versaba sobre la identificación biométrica y el arresto de un activista que realizaba una protesta pacífica solitaria en el metro de Moscú, detectado a través del despliegue masivo del sistema de reconocimiento facial en vivo de la ciudad.</w:t>
      </w:r>
      <w:r>
        <w:rPr>
          <w:rFonts w:ascii="Google Sans" w:eastAsia="Google Sans" w:hAnsi="Google Sans" w:cs="Google Sans"/>
          <w:color w:val="444746"/>
          <w:sz w:val="24"/>
          <w:szCs w:val="24"/>
          <w:vertAlign w:val="superscript"/>
        </w:rPr>
        <w:t>53</w:t>
      </w:r>
      <w:r>
        <w:rPr>
          <w:rFonts w:ascii="Google Sans" w:eastAsia="Google Sans" w:hAnsi="Google Sans" w:cs="Google Sans"/>
          <w:color w:val="1F1F1F"/>
        </w:rPr>
        <w:t xml:space="preserve"> El TEDH determinó que la Federación Rusa había violado los derechos a la vida privada, a la libertad de expresión y a la libertad de reunión del demandante.</w:t>
      </w:r>
      <w:r>
        <w:rPr>
          <w:rFonts w:ascii="Google Sans" w:eastAsia="Google Sans" w:hAnsi="Google Sans" w:cs="Google Sans"/>
          <w:color w:val="444746"/>
          <w:sz w:val="24"/>
          <w:szCs w:val="24"/>
          <w:vertAlign w:val="superscript"/>
        </w:rPr>
        <w:t>53</w:t>
      </w:r>
      <w:r>
        <w:rPr>
          <w:rFonts w:ascii="Google Sans" w:eastAsia="Google Sans" w:hAnsi="Google Sans" w:cs="Google Sans"/>
          <w:color w:val="1F1F1F"/>
        </w:rPr>
        <w:t xml:space="preserve"> En su dictamen, la Corte subrayó un principio fundamental que reverbera sobre cualquier uso forense de la IA: cualquier Estado que asuma un rol pionero en el despliegue de tecnologías biométricas y algorítmicas asume simultáneamente una responsabilidad especial y agravada de garantizar un equilibrio estricto frente a los derechos humanos.</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El TEDH rechaza la noción de que el mantenimiento del orden o la eficiencia judicial puedan justificar la aplicación de "cajas negras" algorítmicas que vulneren la presunción de inocencia o intimiden la participación procesal libre.</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En los sistemas procesales europeos (mayoritariamente inquisitivos o mixtos, a diferencia del sistema adversarial estadounidense), toda la prueba tecnológica analizada por los magistrados debe estar sólidamente motivada y abierta a la contradicción en el sumario y en el juicio oral.</w:t>
      </w:r>
      <w:r>
        <w:rPr>
          <w:rFonts w:ascii="Google Sans" w:eastAsia="Google Sans" w:hAnsi="Google Sans" w:cs="Google Sans"/>
          <w:color w:val="444746"/>
          <w:sz w:val="24"/>
          <w:szCs w:val="24"/>
          <w:vertAlign w:val="superscript"/>
        </w:rPr>
        <w:t>54</w:t>
      </w:r>
    </w:p>
    <w:p w14:paraId="4D29E762" w14:textId="67931EF1"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Innovación </w:t>
      </w:r>
      <w:r w:rsidR="00390155">
        <w:rPr>
          <w:rFonts w:ascii="Google Sans" w:eastAsia="Google Sans" w:hAnsi="Google Sans" w:cs="Google Sans"/>
          <w:color w:val="1F1F1F"/>
        </w:rPr>
        <w:t>administrativa frente a riesgos éticos en américa latina</w:t>
      </w:r>
    </w:p>
    <w:p w14:paraId="5B9E67B4"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En contraste con el recelo europeo hacia el análisis biométrico, los sistemas de justicia en América Latina han adoptado un paradigma entusiasta frente a la inteligencia artificial, impulsados por la necesidad imperiosa de resolver crisis endémicas de mora, congestión de expedientes judiciales y sobrecarga burocrática.</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La región ha sido testigo del desarrollo de iniciativas pioneras, aunque la aplicación se ha ceñido predominantemente a la gestión documental y no al análisis de la conducta de los procesados.</w:t>
      </w:r>
    </w:p>
    <w:p w14:paraId="66FD3AB5"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hito fundacional es el sistema </w:t>
      </w:r>
      <w:r>
        <w:rPr>
          <w:rFonts w:ascii="Google Sans" w:eastAsia="Google Sans" w:hAnsi="Google Sans" w:cs="Google Sans"/>
          <w:i/>
          <w:iCs/>
          <w:color w:val="1F1F1F"/>
        </w:rPr>
        <w:t>Prometea</w:t>
      </w:r>
      <w:r>
        <w:rPr>
          <w:rFonts w:ascii="Google Sans" w:eastAsia="Google Sans" w:hAnsi="Google Sans" w:cs="Google Sans"/>
          <w:color w:val="1F1F1F"/>
        </w:rPr>
        <w:t>, desarrollado en 2017 por el Ministerio Público Fiscal de la Ciudad Autónoma de Buenos Aires, Argentina.</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Prometea no opera evaluando expresiones faciales ni tonos de voz, sino que utiliza algoritmos de aprendizaje automático para analizar texto legal, detectando patrones en la jurisprudencia histórica para generar predicciones y proyectar borradores de dictámenes jurídicos. Los resultados de eficiencia fueron abrumadores: reducciones del tiempo de resolución para pliegos de contrataciones desde 90 minutos a un solo minuto, y proyecciones automáticas de dictámenes con una tasa de éxito del 96% de coincidencia con la decisión humana final.</w:t>
      </w:r>
      <w:r>
        <w:rPr>
          <w:rFonts w:ascii="Google Sans" w:eastAsia="Google Sans" w:hAnsi="Google Sans" w:cs="Google Sans"/>
          <w:color w:val="444746"/>
          <w:sz w:val="24"/>
          <w:szCs w:val="24"/>
          <w:vertAlign w:val="superscript"/>
        </w:rPr>
        <w:t>56</w:t>
      </w:r>
    </w:p>
    <w:p w14:paraId="1BC21530"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Inspirada en el modelo argentino, la Corte Constitucional de Colombia desplegó el sistema </w:t>
      </w:r>
      <w:r>
        <w:rPr>
          <w:rFonts w:ascii="Google Sans" w:eastAsia="Google Sans" w:hAnsi="Google Sans" w:cs="Google Sans"/>
          <w:i/>
          <w:iCs/>
          <w:color w:val="1F1F1F"/>
        </w:rPr>
        <w:t>PretorIA</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 xml:space="preserve"> La Corte Constitucional colombiana recibe y debe depurar anualmente más de 600,000 acciones de tutela. </w:t>
      </w:r>
      <w:proofErr w:type="spellStart"/>
      <w:r>
        <w:rPr>
          <w:rFonts w:ascii="Google Sans" w:eastAsia="Google Sans" w:hAnsi="Google Sans" w:cs="Google Sans"/>
          <w:color w:val="1F1F1F"/>
        </w:rPr>
        <w:t>PretorIA</w:t>
      </w:r>
      <w:proofErr w:type="spellEnd"/>
      <w:r>
        <w:rPr>
          <w:rFonts w:ascii="Google Sans" w:eastAsia="Google Sans" w:hAnsi="Google Sans" w:cs="Google Sans"/>
          <w:color w:val="1F1F1F"/>
        </w:rPr>
        <w:t xml:space="preserve"> revolucionó el proceso al leer, detectar, predecir y resumir los expedientes digitales, clasificándolos según la priorización de derechos vulnerados (como el derecho a la salud o a la pensión) en menos de dos minutos, una labor que a un funcionario humano le tomaba jornadas enteras.</w:t>
      </w:r>
      <w:r>
        <w:rPr>
          <w:rFonts w:ascii="Google Sans" w:eastAsia="Google Sans" w:hAnsi="Google Sans" w:cs="Google Sans"/>
          <w:color w:val="444746"/>
          <w:sz w:val="24"/>
          <w:szCs w:val="24"/>
          <w:vertAlign w:val="superscript"/>
        </w:rPr>
        <w:t>57</w:t>
      </w:r>
    </w:p>
    <w:p w14:paraId="7FB38755"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Esta infraestructura tecnológica instalada a raíz de </w:t>
      </w:r>
      <w:r>
        <w:rPr>
          <w:rFonts w:ascii="Google Sans" w:eastAsia="Google Sans" w:hAnsi="Google Sans" w:cs="Google Sans"/>
          <w:i/>
          <w:iCs/>
          <w:color w:val="1F1F1F"/>
        </w:rPr>
        <w:t>Prometea</w:t>
      </w:r>
      <w:r>
        <w:rPr>
          <w:rFonts w:ascii="Google Sans" w:eastAsia="Google Sans" w:hAnsi="Google Sans" w:cs="Google Sans"/>
          <w:color w:val="1F1F1F"/>
        </w:rPr>
        <w:t xml:space="preserve"> y </w:t>
      </w:r>
      <w:proofErr w:type="spellStart"/>
      <w:r>
        <w:rPr>
          <w:rFonts w:ascii="Google Sans" w:eastAsia="Google Sans" w:hAnsi="Google Sans" w:cs="Google Sans"/>
          <w:i/>
          <w:iCs/>
          <w:color w:val="1F1F1F"/>
        </w:rPr>
        <w:t>PretorIA</w:t>
      </w:r>
      <w:proofErr w:type="spellEnd"/>
      <w:r>
        <w:rPr>
          <w:rFonts w:ascii="Google Sans" w:eastAsia="Google Sans" w:hAnsi="Google Sans" w:cs="Google Sans"/>
          <w:color w:val="1F1F1F"/>
        </w:rPr>
        <w:t xml:space="preserve"> sugiere que los poderes judiciales latinoamericanos poseen la voluntad política y las capacidades técnicas para albergar canales de datos algorítmicos. Sumado a esto, tras la crisis sanitaria del COVID-19, la proliferación de las "audiencias virtuales" (a través de plataformas de telepresencia en países como El Salvador, Colombia y Perú) ha normalizado que todo acto procesal oral y contradictorio quede registrado en formato de video digital.</w:t>
      </w:r>
      <w:r>
        <w:rPr>
          <w:rFonts w:ascii="Google Sans" w:eastAsia="Google Sans" w:hAnsi="Google Sans" w:cs="Google Sans"/>
          <w:color w:val="444746"/>
          <w:sz w:val="24"/>
          <w:szCs w:val="24"/>
          <w:vertAlign w:val="superscript"/>
        </w:rPr>
        <w:t>60</w:t>
      </w:r>
      <w:r>
        <w:rPr>
          <w:rFonts w:ascii="Google Sans" w:eastAsia="Google Sans" w:hAnsi="Google Sans" w:cs="Google Sans"/>
          <w:color w:val="1F1F1F"/>
        </w:rPr>
        <w:t xml:space="preserve"> Esta digitalización forzosa proporciona exactamente la clase de materia prima estructurada (las 2,400 horas de video referenciadas en la problemática central) que un modelo multimodal híbrido requeriría para su operación.</w:t>
      </w:r>
      <w:r>
        <w:rPr>
          <w:rFonts w:ascii="Google Sans" w:eastAsia="Google Sans" w:hAnsi="Google Sans" w:cs="Google Sans"/>
          <w:color w:val="444746"/>
          <w:sz w:val="24"/>
          <w:szCs w:val="24"/>
          <w:vertAlign w:val="superscript"/>
        </w:rPr>
        <w:t>61</w:t>
      </w:r>
    </w:p>
    <w:p w14:paraId="255BD139"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Sin embargo, organismos de derechos humanos, academia y expertos panelistas en el ámbito de la Corte Interamericana de Derechos Humanos (Corte IDH) han levantado alertas severas sobre la importación de esta tecnología administrativa hacia la toma de decisiones sancionatorias y penales.</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La aplicación de modelos LLMs y </w:t>
      </w:r>
      <w:proofErr w:type="spellStart"/>
      <w:r>
        <w:rPr>
          <w:rFonts w:ascii="Google Sans" w:eastAsia="Google Sans" w:hAnsi="Google Sans" w:cs="Google Sans"/>
          <w:color w:val="1F1F1F"/>
        </w:rPr>
        <w:t>SSMs</w:t>
      </w:r>
      <w:proofErr w:type="spellEnd"/>
      <w:r>
        <w:rPr>
          <w:rFonts w:ascii="Google Sans" w:eastAsia="Google Sans" w:hAnsi="Google Sans" w:cs="Google Sans"/>
          <w:color w:val="1F1F1F"/>
        </w:rPr>
        <w:t xml:space="preserve"> en América Latina conlleva riesgos profundos de "alucinaciones" (donde el modelo inventa jurisprudencia inexistente, un </w:t>
      </w:r>
      <w:r>
        <w:rPr>
          <w:rFonts w:ascii="Google Sans" w:eastAsia="Google Sans" w:hAnsi="Google Sans" w:cs="Google Sans"/>
          <w:color w:val="1F1F1F"/>
        </w:rPr>
        <w:lastRenderedPageBreak/>
        <w:t>fenómeno ya documentado exhaustivamente en Estados Unidos) y sesgos.</w:t>
      </w:r>
      <w:r>
        <w:rPr>
          <w:rFonts w:ascii="Google Sans" w:eastAsia="Google Sans" w:hAnsi="Google Sans" w:cs="Google Sans"/>
          <w:color w:val="444746"/>
          <w:sz w:val="24"/>
          <w:szCs w:val="24"/>
          <w:vertAlign w:val="superscript"/>
        </w:rPr>
        <w:t>55</w:t>
      </w:r>
      <w:r>
        <w:rPr>
          <w:rFonts w:ascii="Google Sans" w:eastAsia="Google Sans" w:hAnsi="Google Sans" w:cs="Google Sans"/>
          <w:color w:val="1F1F1F"/>
        </w:rPr>
        <w:t xml:space="preserve"> Bajo la Convención Americana sobre Derechos Humanos, los Estados tienen la obligación positiva no solo de abstenerse de vulnerar garantías, sino de proveer recursos efectivos y asegurar el debido proceso de ley. Permitir que un algoritmo perfile la "maldad" o el "remordimiento" de un individuo perteneciente a minorías vulnerables sin una auditoría de sesgos transparente chocaría frontalmente con los estándares del Sistema Interamericano.</w:t>
      </w:r>
      <w:r>
        <w:rPr>
          <w:rFonts w:ascii="Google Sans" w:eastAsia="Google Sans" w:hAnsi="Google Sans" w:cs="Google Sans"/>
          <w:color w:val="444746"/>
          <w:sz w:val="24"/>
          <w:szCs w:val="24"/>
          <w:vertAlign w:val="superscript"/>
        </w:rPr>
        <w:t>55</w:t>
      </w:r>
    </w:p>
    <w:p w14:paraId="4E764F99" w14:textId="1534B49A"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La </w:t>
      </w:r>
      <w:r w:rsidR="00390155">
        <w:rPr>
          <w:rFonts w:ascii="Google Sans" w:eastAsia="Google Sans" w:hAnsi="Google Sans" w:cs="Google Sans"/>
          <w:color w:val="1F1F1F"/>
        </w:rPr>
        <w:t xml:space="preserve">experiencia jurisprudencial anglosajona: sesgos algorítmicos, la cláusula de confrontación y el falso arrepentimiento generado por </w:t>
      </w:r>
      <w:proofErr w:type="spellStart"/>
      <w:r w:rsidR="00390155">
        <w:rPr>
          <w:rFonts w:ascii="Google Sans" w:eastAsia="Google Sans" w:hAnsi="Google Sans" w:cs="Google Sans"/>
          <w:color w:val="1F1F1F"/>
        </w:rPr>
        <w:t>ia</w:t>
      </w:r>
      <w:proofErr w:type="spellEnd"/>
    </w:p>
    <w:p w14:paraId="2BD87CE5"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 los Estados Unidos, la infiltración de la inteligencia artificial en los estratos del derecho penal se encuentra en un estadio muy avanzado, proveyendo lecciones empíricas invaluables sobre los riesgos de mecanizar la evaluación del comportamiento humano. El uso generalizado de herramientas actuariales de evaluación de riesgos (como el controvertido algoritmo COMPAS) para orientar decisiones sobre libertad bajo fianza, libertad condicional y sentencias, ha sido objeto de intensos debates.</w:t>
      </w:r>
      <w:r>
        <w:rPr>
          <w:rFonts w:ascii="Google Sans" w:eastAsia="Google Sans" w:hAnsi="Google Sans" w:cs="Google Sans"/>
          <w:color w:val="444746"/>
          <w:sz w:val="24"/>
          <w:szCs w:val="24"/>
          <w:vertAlign w:val="superscript"/>
        </w:rPr>
        <w:t>65</w:t>
      </w:r>
      <w:r>
        <w:rPr>
          <w:rFonts w:ascii="Google Sans" w:eastAsia="Google Sans" w:hAnsi="Google Sans" w:cs="Google Sans"/>
          <w:color w:val="1F1F1F"/>
        </w:rPr>
        <w:t xml:space="preserve"> Investigaciones académicas robustas y metaanálisis han revelado que, si bien la IA ha logrado en ciertas instancias reducir el tiempo total de encarcelamiento para delincuentes objetivamente de bajo riesgo penal, ha fallado de manera estrepitosa en garantizar la equidad demográfica, reproduciendo y amplificando sistemáticamente sesgos raciales y disparidades socioeconómicas inherentes a los datos históricos con los que fue entrenada.</w:t>
      </w:r>
      <w:r>
        <w:rPr>
          <w:rFonts w:ascii="Google Sans" w:eastAsia="Google Sans" w:hAnsi="Google Sans" w:cs="Google Sans"/>
          <w:color w:val="444746"/>
          <w:sz w:val="24"/>
          <w:szCs w:val="24"/>
          <w:vertAlign w:val="superscript"/>
        </w:rPr>
        <w:t>67</w:t>
      </w:r>
    </w:p>
    <w:p w14:paraId="2B3C2EA4"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nivel estrictamente probatorio, el sistema acusatorio anglosajón, caracterizado por el jurado popular y el contrainterrogatorio, enfrenta una profunda crisis de adaptación epistemológica frente a la IA. La admisibilidad de la "evidencia forense de nueva generación" está condicionada por el rigor del Estándar </w:t>
      </w:r>
      <w:proofErr w:type="spellStart"/>
      <w:r>
        <w:rPr>
          <w:rFonts w:ascii="Google Sans" w:eastAsia="Google Sans" w:hAnsi="Google Sans" w:cs="Google Sans"/>
          <w:i/>
          <w:iCs/>
          <w:color w:val="1F1F1F"/>
        </w:rPr>
        <w:t>Daubert</w:t>
      </w:r>
      <w:proofErr w:type="spellEnd"/>
      <w:r>
        <w:rPr>
          <w:rFonts w:ascii="Google Sans" w:eastAsia="Google Sans" w:hAnsi="Google Sans" w:cs="Google Sans"/>
          <w:color w:val="1F1F1F"/>
        </w:rPr>
        <w:t xml:space="preserve"> (y sus equivalentes bajo las Reglas Federales de Evidencia, particularmente la regla MRE 702), que exige a los jueces actuar como estrictos custodios o guardianes (gatekeepers), asegurando que cualquier peritaje admitido en juicio sea producto de métodos científicamente válidos, </w:t>
      </w:r>
      <w:proofErr w:type="spellStart"/>
      <w:r>
        <w:rPr>
          <w:rFonts w:ascii="Google Sans" w:eastAsia="Google Sans" w:hAnsi="Google Sans" w:cs="Google Sans"/>
          <w:color w:val="1F1F1F"/>
        </w:rPr>
        <w:t>testeables</w:t>
      </w:r>
      <w:proofErr w:type="spellEnd"/>
      <w:r>
        <w:rPr>
          <w:rFonts w:ascii="Google Sans" w:eastAsia="Google Sans" w:hAnsi="Google Sans" w:cs="Google Sans"/>
          <w:color w:val="1F1F1F"/>
        </w:rPr>
        <w:t>, sometidos a revisión por pares y con una tasa de error conocida.</w:t>
      </w:r>
      <w:r>
        <w:rPr>
          <w:rFonts w:ascii="Google Sans" w:eastAsia="Google Sans" w:hAnsi="Google Sans" w:cs="Google Sans"/>
          <w:color w:val="444746"/>
          <w:sz w:val="24"/>
          <w:szCs w:val="24"/>
          <w:vertAlign w:val="superscript"/>
        </w:rPr>
        <w:t>70</w:t>
      </w:r>
    </w:p>
    <w:p w14:paraId="3ED60E10"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El principal desafío constitucional en las cortes estadounidenses respecto al uso de análisis conductual automatizado reside en la Sexta Enmienda de la Constitución, específicamente en la Cláusula de Confrontación (</w:t>
      </w:r>
      <w:proofErr w:type="spellStart"/>
      <w:r>
        <w:rPr>
          <w:rFonts w:ascii="Google Sans" w:eastAsia="Google Sans" w:hAnsi="Google Sans" w:cs="Google Sans"/>
          <w:color w:val="1F1F1F"/>
        </w:rPr>
        <w:t>Confrontation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Clause</w:t>
      </w:r>
      <w:proofErr w:type="spellEnd"/>
      <w:r>
        <w:rPr>
          <w:rFonts w:ascii="Google Sans" w:eastAsia="Google Sans" w:hAnsi="Google Sans" w:cs="Google Sans"/>
          <w:color w:val="1F1F1F"/>
        </w:rPr>
        <w:t>). Esta garantía procesal otorga al acusado el derecho irrenunciable de confrontar a los testigos que deponen en su contra.</w:t>
      </w:r>
      <w:r>
        <w:rPr>
          <w:rFonts w:ascii="Google Sans" w:eastAsia="Google Sans" w:hAnsi="Google Sans" w:cs="Google Sans"/>
          <w:color w:val="444746"/>
          <w:sz w:val="24"/>
          <w:szCs w:val="24"/>
          <w:vertAlign w:val="superscript"/>
        </w:rPr>
        <w:t>71</w:t>
      </w:r>
      <w:r>
        <w:rPr>
          <w:rFonts w:ascii="Google Sans" w:eastAsia="Google Sans" w:hAnsi="Google Sans" w:cs="Google Sans"/>
          <w:color w:val="1F1F1F"/>
        </w:rPr>
        <w:t xml:space="preserve"> Cuando el testimonio inculpatorio —o en este caso, el dictamen que afirma que el arrepentimiento expresado en la audiencia es, en realidad, un perjurio revestido de engaño— es generado por una "máquina autónoma", surge un vacío legal crítico: un algoritmo, protegido por leyes de secreto comercial y caracterizado por la opacidad de las redes neuronales profundas (el </w:t>
      </w:r>
      <w:r>
        <w:rPr>
          <w:rFonts w:ascii="Google Sans" w:eastAsia="Google Sans" w:hAnsi="Google Sans" w:cs="Google Sans"/>
          <w:color w:val="1F1F1F"/>
        </w:rPr>
        <w:lastRenderedPageBreak/>
        <w:t xml:space="preserve">fenómeno de la caja negra o </w:t>
      </w:r>
      <w:proofErr w:type="spellStart"/>
      <w:r>
        <w:rPr>
          <w:rFonts w:ascii="Google Sans" w:eastAsia="Google Sans" w:hAnsi="Google Sans" w:cs="Google Sans"/>
          <w:color w:val="1F1F1F"/>
        </w:rPr>
        <w:t>black</w:t>
      </w:r>
      <w:proofErr w:type="spellEnd"/>
      <w:r>
        <w:rPr>
          <w:rFonts w:ascii="Google Sans" w:eastAsia="Google Sans" w:hAnsi="Google Sans" w:cs="Google Sans"/>
          <w:color w:val="1F1F1F"/>
        </w:rPr>
        <w:t xml:space="preserve"> box), no puede ser sometido a un contrainterrogatorio eficaz.</w:t>
      </w:r>
      <w:r>
        <w:rPr>
          <w:rFonts w:ascii="Google Sans" w:eastAsia="Google Sans" w:hAnsi="Google Sans" w:cs="Google Sans"/>
          <w:color w:val="444746"/>
          <w:sz w:val="24"/>
          <w:szCs w:val="24"/>
          <w:vertAlign w:val="superscript"/>
        </w:rPr>
        <w:t>71</w:t>
      </w:r>
      <w:r>
        <w:rPr>
          <w:rFonts w:ascii="Google Sans" w:eastAsia="Google Sans" w:hAnsi="Google Sans" w:cs="Google Sans"/>
          <w:color w:val="1F1F1F"/>
        </w:rPr>
        <w:t xml:space="preserve"> Los abogados defensores se ven incapacitados para escrutar el proceso deductivo que llevó a la IA a marcar un simple parpadeo asincrónico (AU45) como evidencia de remordimiento simulado.</w:t>
      </w:r>
    </w:p>
    <w:p w14:paraId="34E65667"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aversión ontológica y filosófica del sistema judicial hacia la intermediación tecnológica en la expresión de las emociones humanas se ilustra perfectamente en un caso judicial reciente y extraordinariamente pertinente, fallado en Nueva Zelanda a principios de 2026. Durante una audiencia de sentencia en el Tribunal de Distrito de Christchurch, una mujer procesada por el delito de incendio intencional presentó cartas redactadas expresando profundas disculpas y contrición por sus actos.</w:t>
      </w:r>
      <w:r>
        <w:rPr>
          <w:rFonts w:ascii="Google Sans" w:eastAsia="Google Sans" w:hAnsi="Google Sans" w:cs="Google Sans"/>
          <w:color w:val="444746"/>
          <w:sz w:val="24"/>
          <w:szCs w:val="24"/>
          <w:vertAlign w:val="superscript"/>
        </w:rPr>
        <w:t>72</w:t>
      </w:r>
      <w:r>
        <w:rPr>
          <w:rFonts w:ascii="Google Sans" w:eastAsia="Google Sans" w:hAnsi="Google Sans" w:cs="Google Sans"/>
          <w:color w:val="1F1F1F"/>
        </w:rPr>
        <w:t xml:space="preserve"> El magistrado de conocimiento, operando bajo sospecha heurística, introdujo las premisas de la carta en herramientas comerciales de IA generativa y detectó que los documentos de disculpa habían sido redactados total o sustancialmente utilizando modelos de lenguaje sintético, con apenas modificaciones cosméticas realizadas por la acusada.</w:t>
      </w:r>
      <w:r>
        <w:rPr>
          <w:rFonts w:ascii="Google Sans" w:eastAsia="Google Sans" w:hAnsi="Google Sans" w:cs="Google Sans"/>
          <w:color w:val="444746"/>
          <w:sz w:val="24"/>
          <w:szCs w:val="24"/>
          <w:vertAlign w:val="superscript"/>
        </w:rPr>
        <w:t>72</w:t>
      </w:r>
    </w:p>
    <w:p w14:paraId="038D780D"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juez sentenció explícitamente que la mecanización de la expresión emocional anula su valor mitigante: "[C]</w:t>
      </w:r>
      <w:proofErr w:type="spellStart"/>
      <w:r>
        <w:rPr>
          <w:rFonts w:ascii="Google Sans" w:eastAsia="Google Sans" w:hAnsi="Google Sans" w:cs="Google Sans"/>
          <w:color w:val="1F1F1F"/>
        </w:rPr>
        <w:t>uando</w:t>
      </w:r>
      <w:proofErr w:type="spellEnd"/>
      <w:r>
        <w:rPr>
          <w:rFonts w:ascii="Google Sans" w:eastAsia="Google Sans" w:hAnsi="Google Sans" w:cs="Google Sans"/>
          <w:color w:val="1F1F1F"/>
        </w:rPr>
        <w:t xml:space="preserve"> uno está considerando la genuinidad del arrepentimiento de un individuo, el simple hecho de producir una carta generada por ordenador no me lleva a ninguna parte en absoluto".</w:t>
      </w:r>
      <w:r>
        <w:rPr>
          <w:rFonts w:ascii="Google Sans" w:eastAsia="Google Sans" w:hAnsi="Google Sans" w:cs="Google Sans"/>
          <w:color w:val="444746"/>
          <w:sz w:val="24"/>
          <w:szCs w:val="24"/>
          <w:vertAlign w:val="superscript"/>
        </w:rPr>
        <w:t>72</w:t>
      </w:r>
      <w:r>
        <w:rPr>
          <w:rFonts w:ascii="Google Sans" w:eastAsia="Google Sans" w:hAnsi="Google Sans" w:cs="Google Sans"/>
          <w:color w:val="1F1F1F"/>
        </w:rPr>
        <w:t xml:space="preserve"> Con base en esta carencia de humanidad comprobada en la formulación de la disculpa, el tribunal le negó a la defensa el descuento punitivo del 10% que solicitaba por concepto de arrepentimiento y admisión temprana de culpa, otorgándole únicamente un 5% de reducción y sentenciando a la mujer a 27 meses de prisión.</w:t>
      </w:r>
      <w:r>
        <w:rPr>
          <w:rFonts w:ascii="Google Sans" w:eastAsia="Google Sans" w:hAnsi="Google Sans" w:cs="Google Sans"/>
          <w:color w:val="444746"/>
          <w:sz w:val="24"/>
          <w:szCs w:val="24"/>
          <w:vertAlign w:val="superscript"/>
        </w:rPr>
        <w:t>72</w:t>
      </w:r>
    </w:p>
    <w:p w14:paraId="65433AE6"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Este caso ilustra un silogismo jurisprudencial fundamental que debe guiar cualquier aplicación tecnológica en este campo: el derecho penal exige que las emociones autoconscientes que fungen como atenuantes, como la empatía reparadora, el perdón y el arrepentimiento, retengan un origen ontológico, voluntario y estrictamente humano. Si la judicatura desconfía y penaliza a un individuo por utilizar IA para </w:t>
      </w:r>
      <w:r>
        <w:rPr>
          <w:rFonts w:ascii="Google Sans" w:eastAsia="Google Sans" w:hAnsi="Google Sans" w:cs="Google Sans"/>
          <w:i/>
          <w:iCs/>
          <w:color w:val="1F1F1F"/>
        </w:rPr>
        <w:t>sintetizar</w:t>
      </w:r>
      <w:r>
        <w:rPr>
          <w:rFonts w:ascii="Google Sans" w:eastAsia="Google Sans" w:hAnsi="Google Sans" w:cs="Google Sans"/>
          <w:color w:val="1F1F1F"/>
        </w:rPr>
        <w:t xml:space="preserve"> su arrepentimiento, será igualmente reticente, y con sólidas bases jurídicas, a permitir que una Inteligencia Artificial sea la entidad encargada de </w:t>
      </w:r>
      <w:r>
        <w:rPr>
          <w:rFonts w:ascii="Google Sans" w:eastAsia="Google Sans" w:hAnsi="Google Sans" w:cs="Google Sans"/>
          <w:i/>
          <w:iCs/>
          <w:color w:val="1F1F1F"/>
        </w:rPr>
        <w:t>evaluar</w:t>
      </w:r>
      <w:r>
        <w:rPr>
          <w:rFonts w:ascii="Google Sans" w:eastAsia="Google Sans" w:hAnsi="Google Sans" w:cs="Google Sans"/>
          <w:color w:val="1F1F1F"/>
        </w:rPr>
        <w:t>, medir y decidir, sin contradicción humana, sobre la existencia de dicho arrepentimiento en un estrado judicial.</w:t>
      </w:r>
    </w:p>
    <w:p w14:paraId="5F3781E3" w14:textId="244D047E" w:rsidR="00AF39F1"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Conclusión y </w:t>
      </w:r>
      <w:r w:rsidR="00390155">
        <w:rPr>
          <w:rFonts w:ascii="Google Sans" w:eastAsia="Google Sans" w:hAnsi="Google Sans" w:cs="Google Sans"/>
          <w:color w:val="1F1F1F"/>
        </w:rPr>
        <w:t>dictamen sobre la integración multimodal en el ejercicio jurisdiccional</w:t>
      </w:r>
    </w:p>
    <w:p w14:paraId="6F7ED6BA"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confluencia de la evidencia algorítmica y el derecho penal en el escenario específico de auditar 600 videos continuos en búsqueda de marcadores de engaño y arrepentimiento demanda una estrategia que sea, al mismo tiempo, vanguardista en su ingeniería y prudente en su hermenéutica legal. La síntesis investigativa de las dimensiones computacionales y de derecho comparado permite fundamentar las siguientes determinaciones estructurales:</w:t>
      </w:r>
    </w:p>
    <w:p w14:paraId="700081AC"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En primera instancia, el intento de emplear arquitecturas basadas exclusivamente en Transformers clásicos para procesar más de dos mil horas de metraje continuado resultará en un fallo sistémico. El crecimiento cuadrático de los requerimientos de memoria del caché KV saturará la infraestructura de hardware, forzando un submuestreo visual agresivo que destruirá irremediablemente la resolución de alta frecuencia necesaria para la detección </w:t>
      </w:r>
      <w:proofErr w:type="spellStart"/>
      <w:r>
        <w:rPr>
          <w:rFonts w:ascii="Google Sans" w:eastAsia="Google Sans" w:hAnsi="Google Sans" w:cs="Google Sans"/>
          <w:color w:val="1F1F1F"/>
        </w:rPr>
        <w:t>microexpresiva</w:t>
      </w:r>
      <w:proofErr w:type="spellEnd"/>
      <w:r>
        <w:rPr>
          <w:rFonts w:ascii="Google Sans" w:eastAsia="Google Sans" w:hAnsi="Google Sans" w:cs="Google Sans"/>
          <w:color w:val="1F1F1F"/>
        </w:rPr>
        <w:t>. Las arquitecturas Mamba puras resuelven el problema de la memoria gracias a su recurrencia de tiempo lineal, pero sacrifican la retención espacial fina de elementos visuales en favor de la compresión.</w:t>
      </w:r>
    </w:p>
    <w:p w14:paraId="5E7B9719"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Por consiguiente, la solución óptima y demostrada por la investigación de frontera reside en los modelos híbridos Mamba-</w:t>
      </w:r>
      <w:proofErr w:type="spellStart"/>
      <w:r>
        <w:rPr>
          <w:rFonts w:ascii="Google Sans" w:eastAsia="Google Sans" w:hAnsi="Google Sans" w:cs="Google Sans"/>
          <w:color w:val="1F1F1F"/>
        </w:rPr>
        <w:t>Transformer</w:t>
      </w:r>
      <w:proofErr w:type="spellEnd"/>
      <w:r>
        <w:rPr>
          <w:rFonts w:ascii="Google Sans" w:eastAsia="Google Sans" w:hAnsi="Google Sans" w:cs="Google Sans"/>
          <w:color w:val="1F1F1F"/>
        </w:rPr>
        <w:t xml:space="preserve"> (como </w:t>
      </w:r>
      <w:proofErr w:type="spellStart"/>
      <w:r>
        <w:rPr>
          <w:rFonts w:ascii="Google Sans" w:eastAsia="Google Sans" w:hAnsi="Google Sans" w:cs="Google Sans"/>
          <w:color w:val="1F1F1F"/>
        </w:rPr>
        <w:t>Vamba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TimeViper</w:t>
      </w:r>
      <w:proofErr w:type="spellEnd"/>
      <w:r>
        <w:rPr>
          <w:rFonts w:ascii="Google Sans" w:eastAsia="Google Sans" w:hAnsi="Google Sans" w:cs="Google Sans"/>
          <w:color w:val="1F1F1F"/>
        </w:rPr>
        <w:t xml:space="preserve"> o variantes de </w:t>
      </w:r>
      <w:proofErr w:type="spellStart"/>
      <w:r>
        <w:rPr>
          <w:rFonts w:ascii="Google Sans" w:eastAsia="Google Sans" w:hAnsi="Google Sans" w:cs="Google Sans"/>
          <w:color w:val="1F1F1F"/>
        </w:rPr>
        <w:t>Nemotron</w:t>
      </w:r>
      <w:proofErr w:type="spellEnd"/>
      <w:r>
        <w:rPr>
          <w:rFonts w:ascii="Google Sans" w:eastAsia="Google Sans" w:hAnsi="Google Sans" w:cs="Google Sans"/>
          <w:color w:val="1F1F1F"/>
        </w:rPr>
        <w:t xml:space="preserve"> 3). Estos modelos entrelazan la capacidad de memoria constante y el procesamiento de contexto infinito de las redes de estado de espacio (SSM) con capas de autoatención esporádicas, logrando absorber secuencias colosales de decenas de miles de fotogramas, reduciendo drásticamente las necesidades de VRAM a la mitad, y manteniendo la fidelidad necesaria para un diagnóstico psicosocial.</w:t>
      </w:r>
    </w:p>
    <w:p w14:paraId="46607E69"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En segunda instancia, la detección forense del arrepentimiento judicial ha demostrado que depender de análisis </w:t>
      </w:r>
      <w:proofErr w:type="spellStart"/>
      <w:r>
        <w:rPr>
          <w:rFonts w:ascii="Google Sans" w:eastAsia="Google Sans" w:hAnsi="Google Sans" w:cs="Google Sans"/>
          <w:color w:val="1F1F1F"/>
        </w:rPr>
        <w:t>uni-modales</w:t>
      </w:r>
      <w:proofErr w:type="spellEnd"/>
      <w:r>
        <w:rPr>
          <w:rFonts w:ascii="Google Sans" w:eastAsia="Google Sans" w:hAnsi="Google Sans" w:cs="Google Sans"/>
          <w:color w:val="1F1F1F"/>
        </w:rPr>
        <w:t xml:space="preserve"> (evaluar únicamente el lenguaje corporal aislado o la transcripción textual) carece del rigor científico que exige un proceso penal. Los sistemas de vanguardia que han reportado tasas de exactitud superiores al 83% en contextos judiciales reales (como el ecosistema </w:t>
      </w:r>
      <w:proofErr w:type="spellStart"/>
      <w:r>
        <w:rPr>
          <w:rFonts w:ascii="Google Sans" w:eastAsia="Google Sans" w:hAnsi="Google Sans" w:cs="Google Sans"/>
          <w:color w:val="1F1F1F"/>
        </w:rPr>
        <w:t>LegalEye</w:t>
      </w:r>
      <w:proofErr w:type="spellEnd"/>
      <w:r>
        <w:rPr>
          <w:rFonts w:ascii="Google Sans" w:eastAsia="Google Sans" w:hAnsi="Google Sans" w:cs="Google Sans"/>
          <w:color w:val="1F1F1F"/>
        </w:rPr>
        <w:t xml:space="preserve">) estructuran su toma de decisiones mediante una fusión tardía en un pipeline RAG multimodal. Esta metodología impone la transcripción fina con modelos de lenguaje ajustados a jurisprudencia, el análisis acústico mediante ResNet50 para identificar el estrés en la resonancia vocal, y la codificación de Unidades de Acción Facial (específicamente la disonancia entre los marcadores AU6 y AU12, o variaciones en el AU4 y AU45). La confirmación de un arrepentimiento fingido reside en la identificación empírica del fenómeno del "goteo" o </w:t>
      </w:r>
      <w:proofErr w:type="spellStart"/>
      <w:r>
        <w:rPr>
          <w:rFonts w:ascii="Google Sans" w:eastAsia="Google Sans" w:hAnsi="Google Sans" w:cs="Google Sans"/>
          <w:i/>
          <w:iCs/>
          <w:color w:val="1F1F1F"/>
        </w:rPr>
        <w:t>leakage</w:t>
      </w:r>
      <w:proofErr w:type="spellEnd"/>
      <w:r>
        <w:rPr>
          <w:rFonts w:ascii="Google Sans" w:eastAsia="Google Sans" w:hAnsi="Google Sans" w:cs="Google Sans"/>
          <w:color w:val="1F1F1F"/>
        </w:rPr>
        <w:t>, donde la carga cognitiva y el miedo inducen turbulencia emocional, forzando transiciones abruptas y asincrónicas a través de los diversos canales perceptivos.</w:t>
      </w:r>
    </w:p>
    <w:p w14:paraId="7EDE644C" w14:textId="77777777" w:rsidR="00AF39F1"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Finalmente, el dimensionamiento de esta infraestructura algorítmica debe calibrarse contra las exigencias supremas del derecho comparado y la garantía inquebrantable de un juicio justo. Si bien los tribunales en América Latina han validado exitosamente arquitecturas de IA para acelerar trámites administrativos o priorizar expedientes masivos (casos </w:t>
      </w:r>
      <w:r>
        <w:rPr>
          <w:rFonts w:ascii="Google Sans" w:eastAsia="Google Sans" w:hAnsi="Google Sans" w:cs="Google Sans"/>
          <w:i/>
          <w:iCs/>
          <w:color w:val="1F1F1F"/>
        </w:rPr>
        <w:t>Prometea</w:t>
      </w:r>
      <w:r>
        <w:rPr>
          <w:rFonts w:ascii="Google Sans" w:eastAsia="Google Sans" w:hAnsi="Google Sans" w:cs="Google Sans"/>
          <w:color w:val="1F1F1F"/>
        </w:rPr>
        <w:t xml:space="preserve"> y </w:t>
      </w:r>
      <w:proofErr w:type="spellStart"/>
      <w:r>
        <w:rPr>
          <w:rFonts w:ascii="Google Sans" w:eastAsia="Google Sans" w:hAnsi="Google Sans" w:cs="Google Sans"/>
          <w:i/>
          <w:iCs/>
          <w:color w:val="1F1F1F"/>
        </w:rPr>
        <w:t>PretorIA</w:t>
      </w:r>
      <w:proofErr w:type="spellEnd"/>
      <w:r>
        <w:rPr>
          <w:rFonts w:ascii="Google Sans" w:eastAsia="Google Sans" w:hAnsi="Google Sans" w:cs="Google Sans"/>
          <w:color w:val="1F1F1F"/>
        </w:rPr>
        <w:t xml:space="preserve">), la Unión Europea y el Tribunal Europeo de Derechos Humanos (caso </w:t>
      </w:r>
      <w:proofErr w:type="spellStart"/>
      <w:r>
        <w:rPr>
          <w:rFonts w:ascii="Google Sans" w:eastAsia="Google Sans" w:hAnsi="Google Sans" w:cs="Google Sans"/>
          <w:i/>
          <w:iCs/>
          <w:color w:val="1F1F1F"/>
        </w:rPr>
        <w:t>Glukhin</w:t>
      </w:r>
      <w:proofErr w:type="spellEnd"/>
      <w:r>
        <w:rPr>
          <w:rFonts w:ascii="Google Sans" w:eastAsia="Google Sans" w:hAnsi="Google Sans" w:cs="Google Sans"/>
          <w:color w:val="1F1F1F"/>
        </w:rPr>
        <w:t>) trazan una línea prohibitiva ante la automatización del escrutinio biométrico de los ciudadanos. Del mismo modo, en el sistema de justicia anglosajón, la aplicación indiscriminada de sistemas opacos se estrella contra el derecho constitucional a confrontar la evidencia y contra los rigurosos estándares de admisibilidad pericial, amplificando el riesgo inherente de reproducir sesgos históricos en las cortes.</w:t>
      </w:r>
    </w:p>
    <w:p w14:paraId="34BAB5DD" w14:textId="77777777" w:rsidR="00AF39F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La figura atenuante </w:t>
      </w:r>
      <w:proofErr w:type="spellStart"/>
      <w:r>
        <w:rPr>
          <w:rFonts w:ascii="Google Sans" w:eastAsia="Google Sans" w:hAnsi="Google Sans" w:cs="Google Sans"/>
          <w:color w:val="1F1F1F"/>
        </w:rPr>
        <w:t>del</w:t>
      </w:r>
      <w:proofErr w:type="spellEnd"/>
      <w:r>
        <w:rPr>
          <w:rFonts w:ascii="Google Sans" w:eastAsia="Google Sans" w:hAnsi="Google Sans" w:cs="Google Sans"/>
          <w:color w:val="1F1F1F"/>
        </w:rPr>
        <w:t xml:space="preserve"> arrepentimiento en marcos como el Código Penal español exige </w:t>
      </w:r>
      <w:r>
        <w:rPr>
          <w:rFonts w:ascii="Google Sans" w:eastAsia="Google Sans" w:hAnsi="Google Sans" w:cs="Google Sans"/>
          <w:color w:val="1F1F1F"/>
        </w:rPr>
        <w:lastRenderedPageBreak/>
        <w:t>voluntariedad activa y efectos restauradores. La inteligencia artificial debe erigirse estrictamente como un sistema experto de asistencia probatoria, destinado a resaltar las inconsistencias multimodales del sujeto y presentarlas de manera inteligible para que el magistrado ejerza su raciocinio humano, enmarcado en la ley y expuesto a la refutación letrada. Delegar el dictamen final sobre la sinceridad de la culpa y la piedad a una entidad sintética constituye no solo una abdicación de la soberanía judicial humana, sino una contravención de la dignidad fundamental del proceso penal.</w:t>
      </w:r>
    </w:p>
    <w:p w14:paraId="79DFBBAB" w14:textId="55AD848C" w:rsidR="00AF39F1" w:rsidRDefault="00390155">
      <w:pPr>
        <w:pStyle w:val="Ttulo4"/>
        <w:spacing w:before="0"/>
        <w:rPr>
          <w:rFonts w:ascii="Google Sans" w:eastAsia="Google Sans" w:hAnsi="Google Sans" w:cs="Google Sans"/>
        </w:rPr>
      </w:pPr>
      <w:r>
        <w:rPr>
          <w:rFonts w:ascii="Google Sans" w:eastAsia="Google Sans" w:hAnsi="Google Sans" w:cs="Google Sans"/>
        </w:rPr>
        <w:t>Referencias</w:t>
      </w:r>
    </w:p>
    <w:p w14:paraId="172F8DE7"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arXiv:2408.15496v4 [cs.CL] 1 Jan 2025, fecha de acceso: marzo 20, 2026, </w:t>
      </w:r>
      <w:hyperlink r:id="rId7">
        <w:r>
          <w:rPr>
            <w:rFonts w:ascii="Google Sans" w:eastAsia="Google Sans" w:hAnsi="Google Sans" w:cs="Google Sans"/>
            <w:color w:val="0000EE"/>
            <w:sz w:val="24"/>
            <w:szCs w:val="24"/>
            <w:u w:val="single"/>
          </w:rPr>
          <w:t>https://arxiv.org/pdf/2408.15496</w:t>
        </w:r>
      </w:hyperlink>
    </w:p>
    <w:p w14:paraId="16639749"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Transformers vs Mamba vs Linear Attention: Who Wins Long Context? - </w:t>
      </w:r>
      <w:proofErr w:type="spellStart"/>
      <w:r w:rsidRPr="00185574">
        <w:rPr>
          <w:rFonts w:ascii="Google Sans" w:eastAsia="Google Sans" w:hAnsi="Google Sans" w:cs="Google Sans"/>
          <w:sz w:val="24"/>
          <w:szCs w:val="24"/>
          <w:lang w:val="en-US"/>
        </w:rPr>
        <w:t>Devansh</w:t>
      </w:r>
      <w:proofErr w:type="spellEnd"/>
      <w:r w:rsidRPr="00185574">
        <w:rPr>
          <w:rFonts w:ascii="Google Sans" w:eastAsia="Google Sans" w:hAnsi="Google Sans" w:cs="Google Sans"/>
          <w:sz w:val="24"/>
          <w:szCs w:val="24"/>
          <w:lang w:val="en-US"/>
        </w:rPr>
        <w:t xml:space="preserve"> - Medium,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8">
        <w:r w:rsidRPr="00185574">
          <w:rPr>
            <w:rFonts w:ascii="Google Sans" w:eastAsia="Google Sans" w:hAnsi="Google Sans" w:cs="Google Sans"/>
            <w:color w:val="0000EE"/>
            <w:sz w:val="24"/>
            <w:szCs w:val="24"/>
            <w:u w:val="single"/>
            <w:lang w:val="en-US"/>
          </w:rPr>
          <w:t>https://machine-learning-made-simple.medium.com/transformers-vs-mamba-vs-linear-attention-who-wins-long-context-f1dc8ceb5ede</w:t>
        </w:r>
      </w:hyperlink>
    </w:p>
    <w:p w14:paraId="05AF8020"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Vamba</w:t>
      </w:r>
      <w:proofErr w:type="spellEnd"/>
      <w:r w:rsidRPr="00185574">
        <w:rPr>
          <w:rFonts w:ascii="Google Sans" w:eastAsia="Google Sans" w:hAnsi="Google Sans" w:cs="Google Sans"/>
          <w:sz w:val="24"/>
          <w:szCs w:val="24"/>
          <w:lang w:val="en-US"/>
        </w:rPr>
        <w:t xml:space="preserve">: Understanding Hour-Long Videos with Hybrid Mamba-Transformers - arXiv.org,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9">
        <w:r w:rsidRPr="00185574">
          <w:rPr>
            <w:rFonts w:ascii="Google Sans" w:eastAsia="Google Sans" w:hAnsi="Google Sans" w:cs="Google Sans"/>
            <w:color w:val="0000EE"/>
            <w:sz w:val="24"/>
            <w:szCs w:val="24"/>
            <w:u w:val="single"/>
            <w:lang w:val="en-US"/>
          </w:rPr>
          <w:t>https://arxiv.org/html/2503.11579v1</w:t>
        </w:r>
      </w:hyperlink>
    </w:p>
    <w:p w14:paraId="38D2EC5F"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Mamba Models a possible replacement for Transformers? - SciPy Proceedings,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0">
        <w:r w:rsidRPr="00185574">
          <w:rPr>
            <w:rFonts w:ascii="Google Sans" w:eastAsia="Google Sans" w:hAnsi="Google Sans" w:cs="Google Sans"/>
            <w:color w:val="0000EE"/>
            <w:sz w:val="24"/>
            <w:szCs w:val="24"/>
            <w:u w:val="single"/>
            <w:lang w:val="en-US"/>
          </w:rPr>
          <w:t>https://proceedings.scipy.org/articles/XHDR4700</w:t>
        </w:r>
      </w:hyperlink>
    </w:p>
    <w:p w14:paraId="0EC2BA74"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How Mamba Beats Transformers at Long Sequences - Galileo AI,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1">
        <w:r w:rsidRPr="00185574">
          <w:rPr>
            <w:rFonts w:ascii="Google Sans" w:eastAsia="Google Sans" w:hAnsi="Google Sans" w:cs="Google Sans"/>
            <w:color w:val="0000EE"/>
            <w:sz w:val="24"/>
            <w:szCs w:val="24"/>
            <w:u w:val="single"/>
            <w:lang w:val="en-US"/>
          </w:rPr>
          <w:t>https://galileo.ai/blog/mamba-linear-scaling-transformers</w:t>
        </w:r>
      </w:hyperlink>
    </w:p>
    <w:p w14:paraId="5F77A19F"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Mamba-3 - </w:t>
      </w:r>
      <w:proofErr w:type="spellStart"/>
      <w:r>
        <w:rPr>
          <w:rFonts w:ascii="Google Sans" w:eastAsia="Google Sans" w:hAnsi="Google Sans" w:cs="Google Sans"/>
          <w:sz w:val="24"/>
          <w:szCs w:val="24"/>
        </w:rPr>
        <w:t>Together</w:t>
      </w:r>
      <w:proofErr w:type="spellEnd"/>
      <w:r>
        <w:rPr>
          <w:rFonts w:ascii="Google Sans" w:eastAsia="Google Sans" w:hAnsi="Google Sans" w:cs="Google Sans"/>
          <w:sz w:val="24"/>
          <w:szCs w:val="24"/>
        </w:rPr>
        <w:t xml:space="preserve"> AI, fecha de acceso: marzo 20, 2026, </w:t>
      </w:r>
      <w:hyperlink r:id="rId12">
        <w:r>
          <w:rPr>
            <w:rFonts w:ascii="Google Sans" w:eastAsia="Google Sans" w:hAnsi="Google Sans" w:cs="Google Sans"/>
            <w:color w:val="0000EE"/>
            <w:sz w:val="24"/>
            <w:szCs w:val="24"/>
            <w:u w:val="single"/>
          </w:rPr>
          <w:t>https://www.together.ai/blog/mamba-3</w:t>
        </w:r>
      </w:hyperlink>
    </w:p>
    <w:p w14:paraId="0B80346B"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Mamba 3 Beats Transformers: What AI Marketers Need To Know Now,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3">
        <w:r w:rsidRPr="00185574">
          <w:rPr>
            <w:rFonts w:ascii="Google Sans" w:eastAsia="Google Sans" w:hAnsi="Google Sans" w:cs="Google Sans"/>
            <w:color w:val="0000EE"/>
            <w:sz w:val="24"/>
            <w:szCs w:val="24"/>
            <w:u w:val="single"/>
            <w:lang w:val="en-US"/>
          </w:rPr>
          <w:t>https://marketingagent.blog/2026/03/18/mamba-3-beats-transformers-what-ai-marketers-need-to-know-now/</w:t>
        </w:r>
      </w:hyperlink>
    </w:p>
    <w:p w14:paraId="5067B6AD"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Jamba vs. Mamba vs. Transformers: Which AI Architecture Wins for Long </w:t>
      </w:r>
      <w:proofErr w:type="gramStart"/>
      <w:r w:rsidRPr="00185574">
        <w:rPr>
          <w:rFonts w:ascii="Google Sans" w:eastAsia="Google Sans" w:hAnsi="Google Sans" w:cs="Google Sans"/>
          <w:sz w:val="24"/>
          <w:szCs w:val="24"/>
          <w:lang w:val="en-US"/>
        </w:rPr>
        <w:t>Context?,</w:t>
      </w:r>
      <w:proofErr w:type="gram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4">
        <w:r w:rsidRPr="00185574">
          <w:rPr>
            <w:rFonts w:ascii="Google Sans" w:eastAsia="Google Sans" w:hAnsi="Google Sans" w:cs="Google Sans"/>
            <w:color w:val="0000EE"/>
            <w:sz w:val="24"/>
            <w:szCs w:val="24"/>
            <w:u w:val="single"/>
            <w:lang w:val="en-US"/>
          </w:rPr>
          <w:t>https://www.youtube.com/watch?v=BdmQQtyW9Tg</w:t>
        </w:r>
      </w:hyperlink>
    </w:p>
    <w:p w14:paraId="35D7E177"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CNN vs Transformers vs Mamba (SLM) vs Jamba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Sumitkrsharma</w:t>
      </w:r>
      <w:proofErr w:type="spellEnd"/>
      <w:r>
        <w:rPr>
          <w:rFonts w:ascii="Google Sans" w:eastAsia="Google Sans" w:hAnsi="Google Sans" w:cs="Google Sans"/>
          <w:sz w:val="24"/>
          <w:szCs w:val="24"/>
        </w:rPr>
        <w:t xml:space="preserve"> - Medium, fecha de acceso: marzo 20, 2026, </w:t>
      </w:r>
      <w:hyperlink r:id="rId15">
        <w:r>
          <w:rPr>
            <w:rFonts w:ascii="Google Sans" w:eastAsia="Google Sans" w:hAnsi="Google Sans" w:cs="Google Sans"/>
            <w:color w:val="0000EE"/>
            <w:sz w:val="24"/>
            <w:szCs w:val="24"/>
            <w:u w:val="single"/>
          </w:rPr>
          <w:t>https://sumitkrsharma-ai.medium.com/cnn-vs-transformers-vs-mamba-slm-vs-jamba-40c5bf91e3a0</w:t>
        </w:r>
      </w:hyperlink>
    </w:p>
    <w:p w14:paraId="35F16B2C"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Vamba</w:t>
      </w:r>
      <w:proofErr w:type="spellEnd"/>
      <w:r w:rsidRPr="00185574">
        <w:rPr>
          <w:rFonts w:ascii="Google Sans" w:eastAsia="Google Sans" w:hAnsi="Google Sans" w:cs="Google Sans"/>
          <w:sz w:val="24"/>
          <w:szCs w:val="24"/>
          <w:lang w:val="en-US"/>
        </w:rPr>
        <w:t xml:space="preserve">: Understanding Hour-Long Videos with Hybrid Mamba-Transformers - GitHub Pages,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6">
        <w:r w:rsidRPr="00185574">
          <w:rPr>
            <w:rFonts w:ascii="Google Sans" w:eastAsia="Google Sans" w:hAnsi="Google Sans" w:cs="Google Sans"/>
            <w:color w:val="0000EE"/>
            <w:sz w:val="24"/>
            <w:szCs w:val="24"/>
            <w:u w:val="single"/>
            <w:lang w:val="en-US"/>
          </w:rPr>
          <w:t>https://tiger-ai-lab.github.io/Vamba/</w:t>
        </w:r>
      </w:hyperlink>
    </w:p>
    <w:p w14:paraId="09A941C4"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[2511.16595] </w:t>
      </w:r>
      <w:proofErr w:type="spellStart"/>
      <w:r w:rsidRPr="00185574">
        <w:rPr>
          <w:rFonts w:ascii="Google Sans" w:eastAsia="Google Sans" w:hAnsi="Google Sans" w:cs="Google Sans"/>
          <w:sz w:val="24"/>
          <w:szCs w:val="24"/>
          <w:lang w:val="en-US"/>
        </w:rPr>
        <w:t>TimeViper</w:t>
      </w:r>
      <w:proofErr w:type="spellEnd"/>
      <w:r w:rsidRPr="00185574">
        <w:rPr>
          <w:rFonts w:ascii="Google Sans" w:eastAsia="Google Sans" w:hAnsi="Google Sans" w:cs="Google Sans"/>
          <w:sz w:val="24"/>
          <w:szCs w:val="24"/>
          <w:lang w:val="en-US"/>
        </w:rPr>
        <w:t xml:space="preserve">: A Hybrid Mamba-Transformer Vision-Language Model for Efficient Long Video Understanding - arXiv.org,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7">
        <w:r w:rsidRPr="00185574">
          <w:rPr>
            <w:rFonts w:ascii="Google Sans" w:eastAsia="Google Sans" w:hAnsi="Google Sans" w:cs="Google Sans"/>
            <w:color w:val="0000EE"/>
            <w:sz w:val="24"/>
            <w:szCs w:val="24"/>
            <w:u w:val="single"/>
            <w:lang w:val="en-US"/>
          </w:rPr>
          <w:t>https://arxiv.org/abs/2511.16595</w:t>
        </w:r>
      </w:hyperlink>
    </w:p>
    <w:p w14:paraId="3D4CBA52"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[Quick Review] </w:t>
      </w:r>
      <w:proofErr w:type="spellStart"/>
      <w:r w:rsidRPr="00185574">
        <w:rPr>
          <w:rFonts w:ascii="Google Sans" w:eastAsia="Google Sans" w:hAnsi="Google Sans" w:cs="Google Sans"/>
          <w:sz w:val="24"/>
          <w:szCs w:val="24"/>
          <w:lang w:val="en-US"/>
        </w:rPr>
        <w:t>TimeViper</w:t>
      </w:r>
      <w:proofErr w:type="spellEnd"/>
      <w:r w:rsidRPr="00185574">
        <w:rPr>
          <w:rFonts w:ascii="Google Sans" w:eastAsia="Google Sans" w:hAnsi="Google Sans" w:cs="Google Sans"/>
          <w:sz w:val="24"/>
          <w:szCs w:val="24"/>
          <w:lang w:val="en-US"/>
        </w:rPr>
        <w:t xml:space="preserve">: A Hybrid Mamba-Transformer Vision-Language Model for Efficient Long Video Understanding - Liner,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8">
        <w:r w:rsidRPr="00185574">
          <w:rPr>
            <w:rFonts w:ascii="Google Sans" w:eastAsia="Google Sans" w:hAnsi="Google Sans" w:cs="Google Sans"/>
            <w:color w:val="0000EE"/>
            <w:sz w:val="24"/>
            <w:szCs w:val="24"/>
            <w:u w:val="single"/>
            <w:lang w:val="en-US"/>
          </w:rPr>
          <w:t>https://liner.com/review/timeviper-hybrid-mambatransformer-visionlanguage-model-for-efficient-long-video-understanding</w:t>
        </w:r>
      </w:hyperlink>
    </w:p>
    <w:p w14:paraId="4394A585"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TimeViper</w:t>
      </w:r>
      <w:proofErr w:type="spellEnd"/>
      <w:r w:rsidRPr="00185574">
        <w:rPr>
          <w:rFonts w:ascii="Google Sans" w:eastAsia="Google Sans" w:hAnsi="Google Sans" w:cs="Google Sans"/>
          <w:sz w:val="24"/>
          <w:szCs w:val="24"/>
          <w:lang w:val="en-US"/>
        </w:rPr>
        <w:t xml:space="preserve">: A Hybrid Mamba-Transformer Vision-Language Model for Efficient Long Video Understanding - </w:t>
      </w:r>
      <w:proofErr w:type="spellStart"/>
      <w:r w:rsidRPr="00185574">
        <w:rPr>
          <w:rFonts w:ascii="Google Sans" w:eastAsia="Google Sans" w:hAnsi="Google Sans" w:cs="Google Sans"/>
          <w:sz w:val="24"/>
          <w:szCs w:val="24"/>
          <w:lang w:val="en-US"/>
        </w:rPr>
        <w:t>Boshen</w:t>
      </w:r>
      <w:proofErr w:type="spellEnd"/>
      <w:r w:rsidRPr="00185574">
        <w:rPr>
          <w:rFonts w:ascii="Google Sans" w:eastAsia="Google Sans" w:hAnsi="Google Sans" w:cs="Google Sans"/>
          <w:sz w:val="24"/>
          <w:szCs w:val="24"/>
          <w:lang w:val="en-US"/>
        </w:rPr>
        <w:t xml:space="preserve"> Xu,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19">
        <w:r w:rsidRPr="00185574">
          <w:rPr>
            <w:rFonts w:ascii="Google Sans" w:eastAsia="Google Sans" w:hAnsi="Google Sans" w:cs="Google Sans"/>
            <w:color w:val="0000EE"/>
            <w:sz w:val="24"/>
            <w:szCs w:val="24"/>
            <w:u w:val="single"/>
            <w:lang w:val="en-US"/>
          </w:rPr>
          <w:t>https://xuboshen.github.io/TimeViper/</w:t>
        </w:r>
      </w:hyperlink>
    </w:p>
    <w:p w14:paraId="389EAEF7"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TimeViper</w:t>
      </w:r>
      <w:proofErr w:type="spellEnd"/>
      <w:r w:rsidRPr="00185574">
        <w:rPr>
          <w:rFonts w:ascii="Google Sans" w:eastAsia="Google Sans" w:hAnsi="Google Sans" w:cs="Google Sans"/>
          <w:sz w:val="24"/>
          <w:szCs w:val="24"/>
          <w:lang w:val="en-US"/>
        </w:rPr>
        <w:t xml:space="preserve">: A Hybrid Mamba-Transformer Vision-Language Model for Efficient Long Video Understanding - </w:t>
      </w:r>
      <w:proofErr w:type="spellStart"/>
      <w:r w:rsidRPr="00185574">
        <w:rPr>
          <w:rFonts w:ascii="Google Sans" w:eastAsia="Google Sans" w:hAnsi="Google Sans" w:cs="Google Sans"/>
          <w:sz w:val="24"/>
          <w:szCs w:val="24"/>
          <w:lang w:val="en-US"/>
        </w:rPr>
        <w:t>arXiv</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0">
        <w:r w:rsidRPr="00185574">
          <w:rPr>
            <w:rFonts w:ascii="Google Sans" w:eastAsia="Google Sans" w:hAnsi="Google Sans" w:cs="Google Sans"/>
            <w:color w:val="0000EE"/>
            <w:sz w:val="24"/>
            <w:szCs w:val="24"/>
            <w:u w:val="single"/>
            <w:lang w:val="en-US"/>
          </w:rPr>
          <w:t>https://arxiv.org/html/2511.16595</w:t>
        </w:r>
      </w:hyperlink>
    </w:p>
    <w:p w14:paraId="3AAB16CB"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Nemotron</w:t>
      </w:r>
      <w:proofErr w:type="spellEnd"/>
      <w:r w:rsidRPr="00185574">
        <w:rPr>
          <w:rFonts w:ascii="Google Sans" w:eastAsia="Google Sans" w:hAnsi="Google Sans" w:cs="Google Sans"/>
          <w:sz w:val="24"/>
          <w:szCs w:val="24"/>
          <w:lang w:val="en-US"/>
        </w:rPr>
        <w:t xml:space="preserve"> 3 Super: Open, Efficient Mixture-of-Experts Hybrid Mamba-Transformer Model for Agentic Reasoning - Research at NVIDIA,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1">
        <w:r w:rsidRPr="00185574">
          <w:rPr>
            <w:rFonts w:ascii="Google Sans" w:eastAsia="Google Sans" w:hAnsi="Google Sans" w:cs="Google Sans"/>
            <w:color w:val="0000EE"/>
            <w:sz w:val="24"/>
            <w:szCs w:val="24"/>
            <w:u w:val="single"/>
            <w:lang w:val="en-US"/>
          </w:rPr>
          <w:t>https://research.nvidia.com/labs/nemotron/files/NVIDIA-Nemotron-3-Super-Technical-Report.pdf</w:t>
        </w:r>
      </w:hyperlink>
    </w:p>
    <w:p w14:paraId="50963426"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Building a Video RAG Pipeline for Enterprise Clients Using Azure Services,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2">
        <w:r w:rsidRPr="00185574">
          <w:rPr>
            <w:rFonts w:ascii="Google Sans" w:eastAsia="Google Sans" w:hAnsi="Google Sans" w:cs="Google Sans"/>
            <w:color w:val="0000EE"/>
            <w:sz w:val="24"/>
            <w:szCs w:val="24"/>
            <w:u w:val="single"/>
            <w:lang w:val="en-US"/>
          </w:rPr>
          <w:t>https://s2datasystems.medium.com/building-a-video-rag-pipeline-for-enterprise-clients-using-azure-services-e2dffb949319</w:t>
        </w:r>
      </w:hyperlink>
    </w:p>
    <w:p w14:paraId="2D5B7DCE"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Building Multimodal AI Pipelines: A Guide to Unstructured Data - </w:t>
      </w:r>
      <w:proofErr w:type="spellStart"/>
      <w:r w:rsidRPr="00185574">
        <w:rPr>
          <w:rFonts w:ascii="Google Sans" w:eastAsia="Google Sans" w:hAnsi="Google Sans" w:cs="Google Sans"/>
          <w:sz w:val="24"/>
          <w:szCs w:val="24"/>
          <w:lang w:val="en-US"/>
        </w:rPr>
        <w:t>Zilliz</w:t>
      </w:r>
      <w:proofErr w:type="spellEnd"/>
      <w:r w:rsidRPr="00185574">
        <w:rPr>
          <w:rFonts w:ascii="Google Sans" w:eastAsia="Google Sans" w:hAnsi="Google Sans" w:cs="Google Sans"/>
          <w:sz w:val="24"/>
          <w:szCs w:val="24"/>
          <w:lang w:val="en-US"/>
        </w:rPr>
        <w:t xml:space="preserve"> blog,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3">
        <w:r w:rsidRPr="00185574">
          <w:rPr>
            <w:rFonts w:ascii="Google Sans" w:eastAsia="Google Sans" w:hAnsi="Google Sans" w:cs="Google Sans"/>
            <w:color w:val="0000EE"/>
            <w:sz w:val="24"/>
            <w:szCs w:val="24"/>
            <w:u w:val="single"/>
            <w:lang w:val="en-US"/>
          </w:rPr>
          <w:t>https://zilliz.com/blog/multimodal-pipelines-for-ai-applications</w:t>
        </w:r>
      </w:hyperlink>
    </w:p>
    <w:p w14:paraId="29F6262C"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 Multimodal LLM Pipeline for Video Understanding | by Mohamed Hasan | Medium,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4">
        <w:r w:rsidRPr="00185574">
          <w:rPr>
            <w:rFonts w:ascii="Google Sans" w:eastAsia="Google Sans" w:hAnsi="Google Sans" w:cs="Google Sans"/>
            <w:color w:val="0000EE"/>
            <w:sz w:val="24"/>
            <w:szCs w:val="24"/>
            <w:u w:val="single"/>
            <w:lang w:val="en-US"/>
          </w:rPr>
          <w:t>https://eng-mhasan.medium.com/a-multimodal-llm-pipeline-for-video-understanding-b1738304f96d</w:t>
        </w:r>
      </w:hyperlink>
    </w:p>
    <w:p w14:paraId="632333C2"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NVIDIA H100 vs H200: Benchmarks, Specs, and Performance Comparison for AI Inference | </w:t>
      </w:r>
      <w:proofErr w:type="spellStart"/>
      <w:r w:rsidRPr="00185574">
        <w:rPr>
          <w:rFonts w:ascii="Google Sans" w:eastAsia="Google Sans" w:hAnsi="Google Sans" w:cs="Google Sans"/>
          <w:sz w:val="24"/>
          <w:szCs w:val="24"/>
          <w:lang w:val="en-US"/>
        </w:rPr>
        <w:t>Spheron</w:t>
      </w:r>
      <w:proofErr w:type="spellEnd"/>
      <w:r w:rsidRPr="00185574">
        <w:rPr>
          <w:rFonts w:ascii="Google Sans" w:eastAsia="Google Sans" w:hAnsi="Google Sans" w:cs="Google Sans"/>
          <w:sz w:val="24"/>
          <w:szCs w:val="24"/>
          <w:lang w:val="en-US"/>
        </w:rPr>
        <w:t xml:space="preserve"> Blog,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5">
        <w:r w:rsidRPr="00185574">
          <w:rPr>
            <w:rFonts w:ascii="Google Sans" w:eastAsia="Google Sans" w:hAnsi="Google Sans" w:cs="Google Sans"/>
            <w:color w:val="0000EE"/>
            <w:sz w:val="24"/>
            <w:szCs w:val="24"/>
            <w:u w:val="single"/>
            <w:lang w:val="en-US"/>
          </w:rPr>
          <w:t>https://www.spheron.network/blog/nvidia-h100-vs-h200/</w:t>
        </w:r>
      </w:hyperlink>
    </w:p>
    <w:p w14:paraId="58858825"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NVIDIA H100 Benchmarks for Large-Scale Training | </w:t>
      </w:r>
      <w:proofErr w:type="spellStart"/>
      <w:r w:rsidRPr="00185574">
        <w:rPr>
          <w:rFonts w:ascii="Google Sans" w:eastAsia="Google Sans" w:hAnsi="Google Sans" w:cs="Google Sans"/>
          <w:sz w:val="24"/>
          <w:szCs w:val="24"/>
          <w:lang w:val="en-US"/>
        </w:rPr>
        <w:t>CoreWeave</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6">
        <w:r w:rsidRPr="00185574">
          <w:rPr>
            <w:rFonts w:ascii="Google Sans" w:eastAsia="Google Sans" w:hAnsi="Google Sans" w:cs="Google Sans"/>
            <w:color w:val="0000EE"/>
            <w:sz w:val="24"/>
            <w:szCs w:val="24"/>
            <w:u w:val="single"/>
            <w:lang w:val="en-US"/>
          </w:rPr>
          <w:t>https://www.coreweave.com/blog/nvidia-h100-gpu-benchmark-results-what-we-learned-from-large-scale-gpu-testing</w:t>
        </w:r>
      </w:hyperlink>
    </w:p>
    <w:p w14:paraId="15C4D826"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Breaking </w:t>
      </w:r>
      <w:proofErr w:type="spellStart"/>
      <w:r w:rsidRPr="00185574">
        <w:rPr>
          <w:rFonts w:ascii="Google Sans" w:eastAsia="Google Sans" w:hAnsi="Google Sans" w:cs="Google Sans"/>
          <w:sz w:val="24"/>
          <w:szCs w:val="24"/>
          <w:lang w:val="en-US"/>
        </w:rPr>
        <w:t>MLPerf</w:t>
      </w:r>
      <w:proofErr w:type="spellEnd"/>
      <w:r w:rsidRPr="00185574">
        <w:rPr>
          <w:rFonts w:ascii="Google Sans" w:eastAsia="Google Sans" w:hAnsi="Google Sans" w:cs="Google Sans"/>
          <w:sz w:val="24"/>
          <w:szCs w:val="24"/>
          <w:lang w:val="en-US"/>
        </w:rPr>
        <w:t xml:space="preserve"> Training Records with NVIDIA H100 GPUs | NVIDIA Technical Blog,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7">
        <w:r w:rsidRPr="00185574">
          <w:rPr>
            <w:rFonts w:ascii="Google Sans" w:eastAsia="Google Sans" w:hAnsi="Google Sans" w:cs="Google Sans"/>
            <w:color w:val="0000EE"/>
            <w:sz w:val="24"/>
            <w:szCs w:val="24"/>
            <w:u w:val="single"/>
            <w:lang w:val="en-US"/>
          </w:rPr>
          <w:t>https://developer.nvidia.com/blog/breaking-mlperf-training-records-with-nvidia-h100-gpus/</w:t>
        </w:r>
      </w:hyperlink>
    </w:p>
    <w:p w14:paraId="3BA4E214"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NVIDIA H100 Tensor Core GPU - Deep Learning Performance Analysis - Lambda,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28">
        <w:r w:rsidRPr="00185574">
          <w:rPr>
            <w:rFonts w:ascii="Google Sans" w:eastAsia="Google Sans" w:hAnsi="Google Sans" w:cs="Google Sans"/>
            <w:color w:val="0000EE"/>
            <w:sz w:val="24"/>
            <w:szCs w:val="24"/>
            <w:u w:val="single"/>
            <w:lang w:val="en-US"/>
          </w:rPr>
          <w:t>https://lambda.ai/blog/nvidia-h100-gpu-deep-learning-performance-analysis</w:t>
        </w:r>
      </w:hyperlink>
    </w:p>
    <w:p w14:paraId="3F81DC8D"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Plan </w:t>
      </w:r>
      <w:proofErr w:type="spellStart"/>
      <w:r>
        <w:rPr>
          <w:rFonts w:ascii="Google Sans" w:eastAsia="Google Sans" w:hAnsi="Google Sans" w:cs="Google Sans"/>
          <w:sz w:val="24"/>
          <w:szCs w:val="24"/>
        </w:rPr>
        <w:t>Pricing</w:t>
      </w:r>
      <w:proofErr w:type="spellEnd"/>
      <w:r>
        <w:rPr>
          <w:rFonts w:ascii="Google Sans" w:eastAsia="Google Sans" w:hAnsi="Google Sans" w:cs="Google Sans"/>
          <w:sz w:val="24"/>
          <w:szCs w:val="24"/>
        </w:rPr>
        <w:t xml:space="preserve"> - Modal, fecha de acceso: marzo 20, 2026, </w:t>
      </w:r>
      <w:hyperlink r:id="rId29">
        <w:r>
          <w:rPr>
            <w:rFonts w:ascii="Google Sans" w:eastAsia="Google Sans" w:hAnsi="Google Sans" w:cs="Google Sans"/>
            <w:color w:val="0000EE"/>
            <w:sz w:val="24"/>
            <w:szCs w:val="24"/>
            <w:u w:val="single"/>
          </w:rPr>
          <w:t>https://modal.com/pricing</w:t>
        </w:r>
      </w:hyperlink>
    </w:p>
    <w:p w14:paraId="73F6EB68"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Jarvis Labs: </w:t>
      </w:r>
      <w:proofErr w:type="spellStart"/>
      <w:r>
        <w:rPr>
          <w:rFonts w:ascii="Google Sans" w:eastAsia="Google Sans" w:hAnsi="Google Sans" w:cs="Google Sans"/>
          <w:sz w:val="24"/>
          <w:szCs w:val="24"/>
        </w:rPr>
        <w:t>Rent</w:t>
      </w:r>
      <w:proofErr w:type="spellEnd"/>
      <w:r>
        <w:rPr>
          <w:rFonts w:ascii="Google Sans" w:eastAsia="Google Sans" w:hAnsi="Google Sans" w:cs="Google Sans"/>
          <w:sz w:val="24"/>
          <w:szCs w:val="24"/>
        </w:rPr>
        <w:t xml:space="preserve"> GPUs Online | H100 &amp; A100 GPUs from $0.39/</w:t>
      </w:r>
      <w:proofErr w:type="spellStart"/>
      <w:r>
        <w:rPr>
          <w:rFonts w:ascii="Google Sans" w:eastAsia="Google Sans" w:hAnsi="Google Sans" w:cs="Google Sans"/>
          <w:sz w:val="24"/>
          <w:szCs w:val="24"/>
        </w:rPr>
        <w:t>hr</w:t>
      </w:r>
      <w:proofErr w:type="spellEnd"/>
      <w:r>
        <w:rPr>
          <w:rFonts w:ascii="Google Sans" w:eastAsia="Google Sans" w:hAnsi="Google Sans" w:cs="Google Sans"/>
          <w:sz w:val="24"/>
          <w:szCs w:val="24"/>
        </w:rPr>
        <w:t xml:space="preserve">, fecha de acceso: marzo 20, 2026, </w:t>
      </w:r>
      <w:hyperlink r:id="rId30">
        <w:r>
          <w:rPr>
            <w:rFonts w:ascii="Google Sans" w:eastAsia="Google Sans" w:hAnsi="Google Sans" w:cs="Google Sans"/>
            <w:color w:val="0000EE"/>
            <w:sz w:val="24"/>
            <w:szCs w:val="24"/>
            <w:u w:val="single"/>
          </w:rPr>
          <w:t>https://jarvislabs.ai/</w:t>
        </w:r>
      </w:hyperlink>
    </w:p>
    <w:p w14:paraId="62B1DAFB"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GPU Cloud </w:t>
      </w:r>
      <w:proofErr w:type="spellStart"/>
      <w:r>
        <w:rPr>
          <w:rFonts w:ascii="Google Sans" w:eastAsia="Google Sans" w:hAnsi="Google Sans" w:cs="Google Sans"/>
          <w:sz w:val="24"/>
          <w:szCs w:val="24"/>
        </w:rPr>
        <w:t>Pricing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Rent</w:t>
      </w:r>
      <w:proofErr w:type="spellEnd"/>
      <w:r>
        <w:rPr>
          <w:rFonts w:ascii="Google Sans" w:eastAsia="Google Sans" w:hAnsi="Google Sans" w:cs="Google Sans"/>
          <w:sz w:val="24"/>
          <w:szCs w:val="24"/>
        </w:rPr>
        <w:t xml:space="preserve"> NVIDIA GPUs from $0.43/</w:t>
      </w:r>
      <w:proofErr w:type="spellStart"/>
      <w:r>
        <w:rPr>
          <w:rFonts w:ascii="Google Sans" w:eastAsia="Google Sans" w:hAnsi="Google Sans" w:cs="Google Sans"/>
          <w:sz w:val="24"/>
          <w:szCs w:val="24"/>
        </w:rPr>
        <w:t>hr</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Cyfuture</w:t>
      </w:r>
      <w:proofErr w:type="spellEnd"/>
      <w:r>
        <w:rPr>
          <w:rFonts w:ascii="Google Sans" w:eastAsia="Google Sans" w:hAnsi="Google Sans" w:cs="Google Sans"/>
          <w:sz w:val="24"/>
          <w:szCs w:val="24"/>
        </w:rPr>
        <w:t xml:space="preserve"> AI, fecha de acceso: marzo 20, 2026, </w:t>
      </w:r>
      <w:hyperlink r:id="rId31">
        <w:r>
          <w:rPr>
            <w:rFonts w:ascii="Google Sans" w:eastAsia="Google Sans" w:hAnsi="Google Sans" w:cs="Google Sans"/>
            <w:color w:val="0000EE"/>
            <w:sz w:val="24"/>
            <w:szCs w:val="24"/>
            <w:u w:val="single"/>
          </w:rPr>
          <w:t>https://cyfuture.ai/pricing</w:t>
        </w:r>
      </w:hyperlink>
    </w:p>
    <w:p w14:paraId="5C2AC618"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Nvidia H100 </w:t>
      </w:r>
      <w:proofErr w:type="spellStart"/>
      <w:r w:rsidRPr="00185574">
        <w:rPr>
          <w:rFonts w:ascii="Google Sans" w:eastAsia="Google Sans" w:hAnsi="Google Sans" w:cs="Google Sans"/>
          <w:sz w:val="24"/>
          <w:szCs w:val="24"/>
          <w:lang w:val="en-US"/>
        </w:rPr>
        <w:t>vLLM</w:t>
      </w:r>
      <w:proofErr w:type="spellEnd"/>
      <w:r w:rsidRPr="00185574">
        <w:rPr>
          <w:rFonts w:ascii="Google Sans" w:eastAsia="Google Sans" w:hAnsi="Google Sans" w:cs="Google Sans"/>
          <w:sz w:val="24"/>
          <w:szCs w:val="24"/>
          <w:lang w:val="en-US"/>
        </w:rPr>
        <w:t xml:space="preserve"> Benchmark Results: Reasoning LLMs on Hugging Face - Database Mart,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2">
        <w:r w:rsidRPr="00185574">
          <w:rPr>
            <w:rFonts w:ascii="Google Sans" w:eastAsia="Google Sans" w:hAnsi="Google Sans" w:cs="Google Sans"/>
            <w:color w:val="0000EE"/>
            <w:sz w:val="24"/>
            <w:szCs w:val="24"/>
            <w:u w:val="single"/>
            <w:lang w:val="en-US"/>
          </w:rPr>
          <w:t>https://www.databasemart.com/blog/vllm-gpu-benchmark-h100</w:t>
        </w:r>
      </w:hyperlink>
    </w:p>
    <w:p w14:paraId="6FFE6AAC"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LLM API Pricing Comparison (2025): OpenAI, Gemini, Claude | </w:t>
      </w:r>
      <w:proofErr w:type="spellStart"/>
      <w:r w:rsidRPr="00185574">
        <w:rPr>
          <w:rFonts w:ascii="Google Sans" w:eastAsia="Google Sans" w:hAnsi="Google Sans" w:cs="Google Sans"/>
          <w:sz w:val="24"/>
          <w:szCs w:val="24"/>
          <w:lang w:val="en-US"/>
        </w:rPr>
        <w:t>IntuitionLabs</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lastRenderedPageBreak/>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3">
        <w:r w:rsidRPr="00185574">
          <w:rPr>
            <w:rFonts w:ascii="Google Sans" w:eastAsia="Google Sans" w:hAnsi="Google Sans" w:cs="Google Sans"/>
            <w:color w:val="0000EE"/>
            <w:sz w:val="24"/>
            <w:szCs w:val="24"/>
            <w:u w:val="single"/>
            <w:lang w:val="en-US"/>
          </w:rPr>
          <w:t>https://intuitionlabs.ai/articles/llm-api-pricing-comparison-2025</w:t>
        </w:r>
      </w:hyperlink>
    </w:p>
    <w:p w14:paraId="0E4F2E2A"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Building Intelligent Video Search Pipelines with Multimodal AI - YouTube,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4">
        <w:r w:rsidRPr="00185574">
          <w:rPr>
            <w:rFonts w:ascii="Google Sans" w:eastAsia="Google Sans" w:hAnsi="Google Sans" w:cs="Google Sans"/>
            <w:color w:val="0000EE"/>
            <w:sz w:val="24"/>
            <w:szCs w:val="24"/>
            <w:u w:val="single"/>
            <w:lang w:val="en-US"/>
          </w:rPr>
          <w:t>https://www.youtube.com/watch?v=VIhxyYeL46Y</w:t>
        </w:r>
      </w:hyperlink>
    </w:p>
    <w:p w14:paraId="0EAAC778"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Employing AI for Better Access to Justice: An Automatic Text-to-Video Linking Tool for UK Supreme Court Hearings - MDPI,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5">
        <w:r w:rsidRPr="00185574">
          <w:rPr>
            <w:rFonts w:ascii="Google Sans" w:eastAsia="Google Sans" w:hAnsi="Google Sans" w:cs="Google Sans"/>
            <w:color w:val="0000EE"/>
            <w:sz w:val="24"/>
            <w:szCs w:val="24"/>
            <w:u w:val="single"/>
            <w:lang w:val="en-US"/>
          </w:rPr>
          <w:t>https://www.mdpi.com/2076-3417/15/16/9205</w:t>
        </w:r>
      </w:hyperlink>
    </w:p>
    <w:p w14:paraId="48B301A3"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AI System Detects 'Deception' in Courtroom Videos - VICE,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6">
        <w:r w:rsidRPr="00185574">
          <w:rPr>
            <w:rFonts w:ascii="Google Sans" w:eastAsia="Google Sans" w:hAnsi="Google Sans" w:cs="Google Sans"/>
            <w:color w:val="0000EE"/>
            <w:sz w:val="24"/>
            <w:szCs w:val="24"/>
            <w:u w:val="single"/>
            <w:lang w:val="en-US"/>
          </w:rPr>
          <w:t>https://www.vice.com/en/article/ai-system-detects-deception-in-courtroom-videos/</w:t>
        </w:r>
      </w:hyperlink>
    </w:p>
    <w:p w14:paraId="1652A927"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Multimodal Deception Detection Using Linguistic and Acoustic Features - IDEAS/</w:t>
      </w:r>
      <w:proofErr w:type="spellStart"/>
      <w:r w:rsidRPr="00185574">
        <w:rPr>
          <w:rFonts w:ascii="Google Sans" w:eastAsia="Google Sans" w:hAnsi="Google Sans" w:cs="Google Sans"/>
          <w:sz w:val="24"/>
          <w:szCs w:val="24"/>
          <w:lang w:val="en-US"/>
        </w:rPr>
        <w:t>RePEc</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7">
        <w:r w:rsidRPr="00185574">
          <w:rPr>
            <w:rFonts w:ascii="Google Sans" w:eastAsia="Google Sans" w:hAnsi="Google Sans" w:cs="Google Sans"/>
            <w:color w:val="0000EE"/>
            <w:sz w:val="24"/>
            <w:szCs w:val="24"/>
            <w:u w:val="single"/>
            <w:lang w:val="en-US"/>
          </w:rPr>
          <w:t>https://ideas.repec.org/h/spr/sprchp/978-3-031-83157-7_20.html</w:t>
        </w:r>
      </w:hyperlink>
    </w:p>
    <w:p w14:paraId="7C2FF5F6"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The Role of Facial Action Units in Investigating Facial Movements During Speech - MDPI,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8">
        <w:r w:rsidRPr="00185574">
          <w:rPr>
            <w:rFonts w:ascii="Google Sans" w:eastAsia="Google Sans" w:hAnsi="Google Sans" w:cs="Google Sans"/>
            <w:color w:val="0000EE"/>
            <w:sz w:val="24"/>
            <w:szCs w:val="24"/>
            <w:u w:val="single"/>
            <w:lang w:val="en-US"/>
          </w:rPr>
          <w:t>https://www.mdpi.com/2079-9292/14/10/2066</w:t>
        </w:r>
      </w:hyperlink>
    </w:p>
    <w:p w14:paraId="56FBD26E"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Emotional Expressions Reconsidered: Challenges to Inferring Emotion </w:t>
      </w:r>
      <w:proofErr w:type="gramStart"/>
      <w:r w:rsidRPr="00185574">
        <w:rPr>
          <w:rFonts w:ascii="Google Sans" w:eastAsia="Google Sans" w:hAnsi="Google Sans" w:cs="Google Sans"/>
          <w:sz w:val="24"/>
          <w:szCs w:val="24"/>
          <w:lang w:val="en-US"/>
        </w:rPr>
        <w:t>From</w:t>
      </w:r>
      <w:proofErr w:type="gramEnd"/>
      <w:r w:rsidRPr="00185574">
        <w:rPr>
          <w:rFonts w:ascii="Google Sans" w:eastAsia="Google Sans" w:hAnsi="Google Sans" w:cs="Google Sans"/>
          <w:sz w:val="24"/>
          <w:szCs w:val="24"/>
          <w:lang w:val="en-US"/>
        </w:rPr>
        <w:t xml:space="preserve"> Human Facial Movements - PMC,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39">
        <w:r w:rsidRPr="00185574">
          <w:rPr>
            <w:rFonts w:ascii="Google Sans" w:eastAsia="Google Sans" w:hAnsi="Google Sans" w:cs="Google Sans"/>
            <w:color w:val="0000EE"/>
            <w:sz w:val="24"/>
            <w:szCs w:val="24"/>
            <w:u w:val="single"/>
            <w:lang w:val="en-US"/>
          </w:rPr>
          <w:t>https://pmc.ncbi.nlm.nih.gov/articles/PMC6640856/</w:t>
        </w:r>
      </w:hyperlink>
    </w:p>
    <w:p w14:paraId="15C4ADBD"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Twelve Labs: Mastering Multimodal AI for Advanced Video Understanding | Databricks Blog,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0">
        <w:r w:rsidRPr="00185574">
          <w:rPr>
            <w:rFonts w:ascii="Google Sans" w:eastAsia="Google Sans" w:hAnsi="Google Sans" w:cs="Google Sans"/>
            <w:color w:val="0000EE"/>
            <w:sz w:val="24"/>
            <w:szCs w:val="24"/>
            <w:u w:val="single"/>
            <w:lang w:val="en-US"/>
          </w:rPr>
          <w:t>https://www.databricks.com/blog/mastering-multimodal-ai-twelve-labs</w:t>
        </w:r>
      </w:hyperlink>
    </w:p>
    <w:p w14:paraId="3549F517"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Machine learning-based guilt detection in text - PMC - NIH,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1">
        <w:r w:rsidRPr="00185574">
          <w:rPr>
            <w:rFonts w:ascii="Google Sans" w:eastAsia="Google Sans" w:hAnsi="Google Sans" w:cs="Google Sans"/>
            <w:color w:val="0000EE"/>
            <w:sz w:val="24"/>
            <w:szCs w:val="24"/>
            <w:u w:val="single"/>
            <w:lang w:val="en-US"/>
          </w:rPr>
          <w:t>https://pmc.ncbi.nlm.nih.gov/articles/PMC10349868/</w:t>
        </w:r>
      </w:hyperlink>
    </w:p>
    <w:p w14:paraId="714C4D7E"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Addressing the challenges of remorse in the criminal justice system - PMC,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2">
        <w:r w:rsidRPr="00185574">
          <w:rPr>
            <w:rFonts w:ascii="Google Sans" w:eastAsia="Google Sans" w:hAnsi="Google Sans" w:cs="Google Sans"/>
            <w:color w:val="0000EE"/>
            <w:sz w:val="24"/>
            <w:szCs w:val="24"/>
            <w:u w:val="single"/>
            <w:lang w:val="en-US"/>
          </w:rPr>
          <w:t>https://pmc.ncbi.nlm.nih.gov/articles/PMC9848224/</w:t>
        </w:r>
      </w:hyperlink>
    </w:p>
    <w:p w14:paraId="1745C852"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Microexpressions</w:t>
      </w:r>
      <w:proofErr w:type="spellEnd"/>
      <w:r w:rsidRPr="00185574">
        <w:rPr>
          <w:rFonts w:ascii="Google Sans" w:eastAsia="Google Sans" w:hAnsi="Google Sans" w:cs="Google Sans"/>
          <w:sz w:val="24"/>
          <w:szCs w:val="24"/>
          <w:lang w:val="en-US"/>
        </w:rPr>
        <w:t xml:space="preserve"> Are Not the Best Way to Catch a Liar - Frontiers,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3">
        <w:r w:rsidRPr="00185574">
          <w:rPr>
            <w:rFonts w:ascii="Google Sans" w:eastAsia="Google Sans" w:hAnsi="Google Sans" w:cs="Google Sans"/>
            <w:color w:val="0000EE"/>
            <w:sz w:val="24"/>
            <w:szCs w:val="24"/>
            <w:u w:val="single"/>
            <w:lang w:val="en-US"/>
          </w:rPr>
          <w:t>https://www.frontiersin.org/journals/psychology/articles/10.3389/fpsyg.2018.01672/full</w:t>
        </w:r>
      </w:hyperlink>
    </w:p>
    <w:p w14:paraId="6B22BAD8"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LegalEye</w:t>
      </w:r>
      <w:proofErr w:type="spellEnd"/>
      <w:r w:rsidRPr="00185574">
        <w:rPr>
          <w:rFonts w:ascii="Google Sans" w:eastAsia="Google Sans" w:hAnsi="Google Sans" w:cs="Google Sans"/>
          <w:sz w:val="24"/>
          <w:szCs w:val="24"/>
          <w:lang w:val="en-US"/>
        </w:rPr>
        <w:t xml:space="preserve">: Multimodal Court Deception Detection Across Multiple Languages - PMC,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4">
        <w:r w:rsidRPr="00185574">
          <w:rPr>
            <w:rFonts w:ascii="Google Sans" w:eastAsia="Google Sans" w:hAnsi="Google Sans" w:cs="Google Sans"/>
            <w:color w:val="0000EE"/>
            <w:sz w:val="24"/>
            <w:szCs w:val="24"/>
            <w:u w:val="single"/>
            <w:lang w:val="en-US"/>
          </w:rPr>
          <w:t>https://pmc.ncbi.nlm.nih.gov/articles/PMC12729489/</w:t>
        </w:r>
      </w:hyperlink>
    </w:p>
    <w:p w14:paraId="2E66CE21"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Catching a Liar Through Facial Expression of Fear - PMC - NIH,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5">
        <w:r w:rsidRPr="00185574">
          <w:rPr>
            <w:rFonts w:ascii="Google Sans" w:eastAsia="Google Sans" w:hAnsi="Google Sans" w:cs="Google Sans"/>
            <w:color w:val="0000EE"/>
            <w:sz w:val="24"/>
            <w:szCs w:val="24"/>
            <w:u w:val="single"/>
            <w:lang w:val="en-US"/>
          </w:rPr>
          <w:t>https://pmc.ncbi.nlm.nih.gov/articles/PMC8217652/</w:t>
        </w:r>
      </w:hyperlink>
    </w:p>
    <w:p w14:paraId="38FEA3ED"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(PDF) </w:t>
      </w:r>
      <w:proofErr w:type="spellStart"/>
      <w:r w:rsidRPr="00185574">
        <w:rPr>
          <w:rFonts w:ascii="Google Sans" w:eastAsia="Google Sans" w:hAnsi="Google Sans" w:cs="Google Sans"/>
          <w:sz w:val="24"/>
          <w:szCs w:val="24"/>
          <w:lang w:val="en-US"/>
        </w:rPr>
        <w:t>Microexpressions</w:t>
      </w:r>
      <w:proofErr w:type="spellEnd"/>
      <w:r w:rsidRPr="00185574">
        <w:rPr>
          <w:rFonts w:ascii="Google Sans" w:eastAsia="Google Sans" w:hAnsi="Google Sans" w:cs="Google Sans"/>
          <w:sz w:val="24"/>
          <w:szCs w:val="24"/>
          <w:lang w:val="en-US"/>
        </w:rPr>
        <w:t xml:space="preserve"> Differentiate Truths From Lies About Future Malicious Intent,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6">
        <w:r w:rsidRPr="00185574">
          <w:rPr>
            <w:rFonts w:ascii="Google Sans" w:eastAsia="Google Sans" w:hAnsi="Google Sans" w:cs="Google Sans"/>
            <w:color w:val="0000EE"/>
            <w:sz w:val="24"/>
            <w:szCs w:val="24"/>
            <w:u w:val="single"/>
            <w:lang w:val="en-US"/>
          </w:rPr>
          <w:t>https://www.researchgate.net/publication/329741818_Microexpressions_Differentiate_Truths_From_Lies_About_Future_Malicious_Intent</w:t>
        </w:r>
      </w:hyperlink>
    </w:p>
    <w:p w14:paraId="1BE39012"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Multimodal Deception Detection Using Real-Life Trial Data | Polygraph Research,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7">
        <w:r w:rsidRPr="00185574">
          <w:rPr>
            <w:rFonts w:ascii="Google Sans" w:eastAsia="Google Sans" w:hAnsi="Google Sans" w:cs="Google Sans"/>
            <w:color w:val="0000EE"/>
            <w:sz w:val="24"/>
            <w:szCs w:val="24"/>
            <w:u w:val="single"/>
            <w:lang w:val="en-US"/>
          </w:rPr>
          <w:t>https://liedetectortest.com/polygraph-examiner/polygraph-research/2022-multimodal-deception-detection-using/</w:t>
        </w:r>
      </w:hyperlink>
    </w:p>
    <w:p w14:paraId="041AB545"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Facial Expressions can Reveal Fake or Genuine Remorse - </w:t>
      </w:r>
      <w:proofErr w:type="spellStart"/>
      <w:r w:rsidRPr="00185574">
        <w:rPr>
          <w:rFonts w:ascii="Google Sans" w:eastAsia="Google Sans" w:hAnsi="Google Sans" w:cs="Google Sans"/>
          <w:sz w:val="24"/>
          <w:szCs w:val="24"/>
          <w:lang w:val="en-US"/>
        </w:rPr>
        <w:t>Medindia</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lastRenderedPageBreak/>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8">
        <w:r w:rsidRPr="00185574">
          <w:rPr>
            <w:rFonts w:ascii="Google Sans" w:eastAsia="Google Sans" w:hAnsi="Google Sans" w:cs="Google Sans"/>
            <w:color w:val="0000EE"/>
            <w:sz w:val="24"/>
            <w:szCs w:val="24"/>
            <w:u w:val="single"/>
            <w:lang w:val="en-US"/>
          </w:rPr>
          <w:t>https://www.medindia.net/news/facial-expressions-can-reveal-fake-or-genuine-remorse-80715-1.htm</w:t>
        </w:r>
      </w:hyperlink>
    </w:p>
    <w:p w14:paraId="0FA8CA6C"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Detection of Genuine and Posed Facial Expressions of Emotion: Databases and Methods,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49">
        <w:r w:rsidRPr="00185574">
          <w:rPr>
            <w:rFonts w:ascii="Google Sans" w:eastAsia="Google Sans" w:hAnsi="Google Sans" w:cs="Google Sans"/>
            <w:color w:val="0000EE"/>
            <w:sz w:val="24"/>
            <w:szCs w:val="24"/>
            <w:u w:val="single"/>
            <w:lang w:val="en-US"/>
          </w:rPr>
          <w:t>https://pmc.ncbi.nlm.nih.gov/articles/PMC7844089/</w:t>
        </w:r>
      </w:hyperlink>
    </w:p>
    <w:p w14:paraId="596A471B"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(PDF) </w:t>
      </w:r>
      <w:proofErr w:type="spellStart"/>
      <w:r w:rsidRPr="00185574">
        <w:rPr>
          <w:rFonts w:ascii="Google Sans" w:eastAsia="Google Sans" w:hAnsi="Google Sans" w:cs="Google Sans"/>
          <w:sz w:val="24"/>
          <w:szCs w:val="24"/>
          <w:lang w:val="en-US"/>
        </w:rPr>
        <w:t>LegalEye</w:t>
      </w:r>
      <w:proofErr w:type="spellEnd"/>
      <w:r w:rsidRPr="00185574">
        <w:rPr>
          <w:rFonts w:ascii="Google Sans" w:eastAsia="Google Sans" w:hAnsi="Google Sans" w:cs="Google Sans"/>
          <w:sz w:val="24"/>
          <w:szCs w:val="24"/>
          <w:lang w:val="en-US"/>
        </w:rPr>
        <w:t xml:space="preserve">: Multimodal Court Deception Detection Across Multiple Languages,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0">
        <w:r w:rsidRPr="00185574">
          <w:rPr>
            <w:rFonts w:ascii="Google Sans" w:eastAsia="Google Sans" w:hAnsi="Google Sans" w:cs="Google Sans"/>
            <w:color w:val="0000EE"/>
            <w:sz w:val="24"/>
            <w:szCs w:val="24"/>
            <w:u w:val="single"/>
            <w:lang w:val="en-US"/>
          </w:rPr>
          <w:t>https://www.researchgate.net/publication/398508549_LegalEye_Multimodal_Court_Deception_Detection_Across_Multiple_Languages</w:t>
        </w:r>
      </w:hyperlink>
    </w:p>
    <w:p w14:paraId="5D36C7A6"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La </w:t>
      </w:r>
      <w:proofErr w:type="spellStart"/>
      <w:r w:rsidRPr="00185574">
        <w:rPr>
          <w:rFonts w:ascii="Google Sans" w:eastAsia="Google Sans" w:hAnsi="Google Sans" w:cs="Google Sans"/>
          <w:sz w:val="24"/>
          <w:szCs w:val="24"/>
          <w:lang w:val="en-US"/>
        </w:rPr>
        <w:t>atenuante</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arrepentimiento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activo</w:t>
      </w:r>
      <w:proofErr w:type="spellEnd"/>
      <w:r w:rsidRPr="00185574">
        <w:rPr>
          <w:rFonts w:ascii="Google Sans" w:eastAsia="Google Sans" w:hAnsi="Google Sans" w:cs="Google Sans"/>
          <w:sz w:val="24"/>
          <w:szCs w:val="24"/>
          <w:lang w:val="en-US"/>
        </w:rPr>
        <w:t xml:space="preserve">: - </w:t>
      </w:r>
      <w:proofErr w:type="spellStart"/>
      <w:r w:rsidRPr="00185574">
        <w:rPr>
          <w:rFonts w:ascii="Google Sans" w:eastAsia="Google Sans" w:hAnsi="Google Sans" w:cs="Google Sans"/>
          <w:sz w:val="24"/>
          <w:szCs w:val="24"/>
          <w:lang w:val="en-US"/>
        </w:rPr>
        <w:t>artículo</w:t>
      </w:r>
      <w:proofErr w:type="spellEnd"/>
      <w:r w:rsidRPr="00185574">
        <w:rPr>
          <w:rFonts w:ascii="Google Sans" w:eastAsia="Google Sans" w:hAnsi="Google Sans" w:cs="Google Sans"/>
          <w:sz w:val="24"/>
          <w:szCs w:val="24"/>
          <w:lang w:val="en-US"/>
        </w:rPr>
        <w:t xml:space="preserve"> 9.9 del Código Penal - MARIA-LOURDES MOZOTA FATAS - BOE.es,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1">
        <w:r w:rsidRPr="00185574">
          <w:rPr>
            <w:rFonts w:ascii="Google Sans" w:eastAsia="Google Sans" w:hAnsi="Google Sans" w:cs="Google Sans"/>
            <w:color w:val="0000EE"/>
            <w:sz w:val="24"/>
            <w:szCs w:val="24"/>
            <w:u w:val="single"/>
            <w:lang w:val="en-US"/>
          </w:rPr>
          <w:t>https://www.boe.es/biblioteca_juridica/anuarios_derecho/abrir_pdf.php?id=ANU-P-1989-10014100160</w:t>
        </w:r>
      </w:hyperlink>
    </w:p>
    <w:p w14:paraId="19961A47"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La atenuante de arrepentimiento activo: </w:t>
      </w:r>
      <w:proofErr w:type="spellStart"/>
      <w:r>
        <w:rPr>
          <w:rFonts w:ascii="Google Sans" w:eastAsia="Google Sans" w:hAnsi="Google Sans" w:cs="Google Sans"/>
          <w:sz w:val="24"/>
          <w:szCs w:val="24"/>
        </w:rPr>
        <w:t>articulo</w:t>
      </w:r>
      <w:proofErr w:type="spellEnd"/>
      <w:r>
        <w:rPr>
          <w:rFonts w:ascii="Google Sans" w:eastAsia="Google Sans" w:hAnsi="Google Sans" w:cs="Google Sans"/>
          <w:sz w:val="24"/>
          <w:szCs w:val="24"/>
        </w:rPr>
        <w:t xml:space="preserve"> 9.9 del </w:t>
      </w:r>
      <w:proofErr w:type="spellStart"/>
      <w:r>
        <w:rPr>
          <w:rFonts w:ascii="Google Sans" w:eastAsia="Google Sans" w:hAnsi="Google Sans" w:cs="Google Sans"/>
          <w:sz w:val="24"/>
          <w:szCs w:val="24"/>
        </w:rPr>
        <w:t>Codigo</w:t>
      </w:r>
      <w:proofErr w:type="spellEnd"/>
      <w:r>
        <w:rPr>
          <w:rFonts w:ascii="Google Sans" w:eastAsia="Google Sans" w:hAnsi="Google Sans" w:cs="Google Sans"/>
          <w:sz w:val="24"/>
          <w:szCs w:val="24"/>
        </w:rPr>
        <w:t xml:space="preserve"> Penal - Dialnet, fecha de acceso: marzo 20, 2026, </w:t>
      </w:r>
      <w:hyperlink r:id="rId52">
        <w:r>
          <w:rPr>
            <w:rFonts w:ascii="Google Sans" w:eastAsia="Google Sans" w:hAnsi="Google Sans" w:cs="Google Sans"/>
            <w:color w:val="0000EE"/>
            <w:sz w:val="24"/>
            <w:szCs w:val="24"/>
            <w:u w:val="single"/>
          </w:rPr>
          <w:t>https://dialnet.unirioja.es/descarga/articulo/46343.pdf</w:t>
        </w:r>
      </w:hyperlink>
    </w:p>
    <w:p w14:paraId="2E7AC9A5"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Spain | AI rolled out in justice system in </w:t>
      </w:r>
      <w:proofErr w:type="spellStart"/>
      <w:r w:rsidRPr="00185574">
        <w:rPr>
          <w:rFonts w:ascii="Google Sans" w:eastAsia="Google Sans" w:hAnsi="Google Sans" w:cs="Google Sans"/>
          <w:sz w:val="24"/>
          <w:szCs w:val="24"/>
          <w:lang w:val="en-US"/>
        </w:rPr>
        <w:t>digitalisation</w:t>
      </w:r>
      <w:proofErr w:type="spellEnd"/>
      <w:r w:rsidRPr="00185574">
        <w:rPr>
          <w:rFonts w:ascii="Google Sans" w:eastAsia="Google Sans" w:hAnsi="Google Sans" w:cs="Google Sans"/>
          <w:sz w:val="24"/>
          <w:szCs w:val="24"/>
          <w:lang w:val="en-US"/>
        </w:rPr>
        <w:t xml:space="preserve"> strategy,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3">
        <w:r w:rsidRPr="00185574">
          <w:rPr>
            <w:rFonts w:ascii="Google Sans" w:eastAsia="Google Sans" w:hAnsi="Google Sans" w:cs="Google Sans"/>
            <w:color w:val="0000EE"/>
            <w:sz w:val="24"/>
            <w:szCs w:val="24"/>
            <w:u w:val="single"/>
            <w:lang w:val="en-US"/>
          </w:rPr>
          <w:t>https://www.techandjustice.bsg.ox.ac.uk/research/spain</w:t>
        </w:r>
      </w:hyperlink>
    </w:p>
    <w:p w14:paraId="37968D18"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AI in prisons: a risk to fundamental rights or a tool for reintegration? - </w:t>
      </w:r>
      <w:proofErr w:type="spellStart"/>
      <w:r w:rsidRPr="00185574">
        <w:rPr>
          <w:rFonts w:ascii="Google Sans" w:eastAsia="Google Sans" w:hAnsi="Google Sans" w:cs="Google Sans"/>
          <w:sz w:val="24"/>
          <w:szCs w:val="24"/>
          <w:lang w:val="en-US"/>
        </w:rPr>
        <w:t>Abogacía</w:t>
      </w:r>
      <w:proofErr w:type="spellEnd"/>
      <w:r w:rsidRPr="00185574">
        <w:rPr>
          <w:rFonts w:ascii="Google Sans" w:eastAsia="Google Sans" w:hAnsi="Google Sans" w:cs="Google Sans"/>
          <w:sz w:val="24"/>
          <w:szCs w:val="24"/>
          <w:lang w:val="en-US"/>
        </w:rPr>
        <w:t xml:space="preserve"> Española,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4">
        <w:r w:rsidRPr="00185574">
          <w:rPr>
            <w:rFonts w:ascii="Google Sans" w:eastAsia="Google Sans" w:hAnsi="Google Sans" w:cs="Google Sans"/>
            <w:color w:val="0000EE"/>
            <w:sz w:val="24"/>
            <w:szCs w:val="24"/>
            <w:u w:val="single"/>
            <w:lang w:val="en-US"/>
          </w:rPr>
          <w:t>https://www.abogacia.es/en/publicaciones/blogs/blog-derecho-penitenciario/ia-en-prisiones-riesgo-para-los-derechos-fundamentales-o-herramienta-de-reinsercion/</w:t>
        </w:r>
      </w:hyperlink>
    </w:p>
    <w:p w14:paraId="25AF9681"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Vista de El Derecho penal frente al Reglamento de Inteligencia Artificial | Revista Ius </w:t>
      </w:r>
      <w:proofErr w:type="spellStart"/>
      <w:r>
        <w:rPr>
          <w:rFonts w:ascii="Google Sans" w:eastAsia="Google Sans" w:hAnsi="Google Sans" w:cs="Google Sans"/>
          <w:sz w:val="24"/>
          <w:szCs w:val="24"/>
        </w:rPr>
        <w:t>Criminale</w:t>
      </w:r>
      <w:proofErr w:type="spellEnd"/>
      <w:r>
        <w:rPr>
          <w:rFonts w:ascii="Google Sans" w:eastAsia="Google Sans" w:hAnsi="Google Sans" w:cs="Google Sans"/>
          <w:sz w:val="24"/>
          <w:szCs w:val="24"/>
        </w:rPr>
        <w:t xml:space="preserve">, fecha de acceso: marzo 20, 2026, </w:t>
      </w:r>
      <w:hyperlink r:id="rId55">
        <w:r>
          <w:rPr>
            <w:rFonts w:ascii="Google Sans" w:eastAsia="Google Sans" w:hAnsi="Google Sans" w:cs="Google Sans"/>
            <w:color w:val="0000EE"/>
            <w:sz w:val="24"/>
            <w:szCs w:val="24"/>
            <w:u w:val="single"/>
          </w:rPr>
          <w:t>https://revistas.colex.es/index.php/iuscriminale/article/view/299/416</w:t>
        </w:r>
      </w:hyperlink>
    </w:p>
    <w:p w14:paraId="5C2DA2F6"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AI and Human Rights at the European Court of Human Rights - </w:t>
      </w:r>
      <w:proofErr w:type="spellStart"/>
      <w:r w:rsidRPr="00185574">
        <w:rPr>
          <w:rFonts w:ascii="Google Sans" w:eastAsia="Google Sans" w:hAnsi="Google Sans" w:cs="Google Sans"/>
          <w:sz w:val="24"/>
          <w:szCs w:val="24"/>
          <w:lang w:val="en-US"/>
        </w:rPr>
        <w:t>Verfassungsblog</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6">
        <w:r w:rsidRPr="00185574">
          <w:rPr>
            <w:rFonts w:ascii="Google Sans" w:eastAsia="Google Sans" w:hAnsi="Google Sans" w:cs="Google Sans"/>
            <w:color w:val="0000EE"/>
            <w:sz w:val="24"/>
            <w:szCs w:val="24"/>
            <w:u w:val="single"/>
            <w:lang w:val="en-US"/>
          </w:rPr>
          <w:t>https://verfassungsblog.de/ai-and-human-rights-at-the-european-court-of-human-rights/</w:t>
        </w:r>
      </w:hyperlink>
    </w:p>
    <w:p w14:paraId="5DD197E0"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Background paper for the Judicial Seminar 2025: Protecting human rights in a world of Artificial Intelligence, algorithms and big data - ECHR,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7">
        <w:r w:rsidRPr="00185574">
          <w:rPr>
            <w:rFonts w:ascii="Google Sans" w:eastAsia="Google Sans" w:hAnsi="Google Sans" w:cs="Google Sans"/>
            <w:color w:val="0000EE"/>
            <w:sz w:val="24"/>
            <w:szCs w:val="24"/>
            <w:u w:val="single"/>
            <w:lang w:val="en-US"/>
          </w:rPr>
          <w:t>https://www.echr.coe.int/documents/d/echr/seminar-background-paper-2025-eng</w:t>
        </w:r>
      </w:hyperlink>
    </w:p>
    <w:p w14:paraId="4CBC446A"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Artificial Intelligence at the European Court of Human Rights | OHRH,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8">
        <w:r w:rsidRPr="00185574">
          <w:rPr>
            <w:rFonts w:ascii="Google Sans" w:eastAsia="Google Sans" w:hAnsi="Google Sans" w:cs="Google Sans"/>
            <w:color w:val="0000EE"/>
            <w:sz w:val="24"/>
            <w:szCs w:val="24"/>
            <w:u w:val="single"/>
            <w:lang w:val="en-US"/>
          </w:rPr>
          <w:t>https://ohrh.law.ox.ac.uk/artificial-intelligence-will-we-trust-the-european-court-of-human-rights/</w:t>
        </w:r>
      </w:hyperlink>
    </w:p>
    <w:p w14:paraId="6D9980C1" w14:textId="77777777" w:rsidR="00AF39F1" w:rsidRPr="00185574" w:rsidRDefault="00000000">
      <w:pPr>
        <w:numPr>
          <w:ilvl w:val="0"/>
          <w:numId w:val="2"/>
        </w:numPr>
        <w:pBdr>
          <w:top w:val="nil"/>
          <w:left w:val="nil"/>
          <w:bottom w:val="nil"/>
          <w:right w:val="nil"/>
          <w:between w:val="nil"/>
        </w:pBdr>
        <w:rPr>
          <w:lang w:val="en-US"/>
        </w:rPr>
      </w:pPr>
      <w:proofErr w:type="spellStart"/>
      <w:r w:rsidRPr="00185574">
        <w:rPr>
          <w:rFonts w:ascii="Google Sans" w:eastAsia="Google Sans" w:hAnsi="Google Sans" w:cs="Google Sans"/>
          <w:sz w:val="24"/>
          <w:szCs w:val="24"/>
          <w:lang w:val="en-US"/>
        </w:rPr>
        <w:t>Glukhin</w:t>
      </w:r>
      <w:proofErr w:type="spellEnd"/>
      <w:r w:rsidRPr="00185574">
        <w:rPr>
          <w:rFonts w:ascii="Google Sans" w:eastAsia="Google Sans" w:hAnsi="Google Sans" w:cs="Google Sans"/>
          <w:sz w:val="24"/>
          <w:szCs w:val="24"/>
          <w:lang w:val="en-US"/>
        </w:rPr>
        <w:t xml:space="preserve"> v. Russia: The European Court of Human Rights' First Step into the Age of AI Surveillance - Federal Bar Association,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59">
        <w:r w:rsidRPr="00185574">
          <w:rPr>
            <w:rFonts w:ascii="Google Sans" w:eastAsia="Google Sans" w:hAnsi="Google Sans" w:cs="Google Sans"/>
            <w:color w:val="0000EE"/>
            <w:sz w:val="24"/>
            <w:szCs w:val="24"/>
            <w:u w:val="single"/>
            <w:lang w:val="en-US"/>
          </w:rPr>
          <w:t>https://www.fedbar.org/blog/glukhin-v-russia-the-european-court-of-human-rights-first-step-into-the-age-of-ai-surveillance/</w:t>
        </w:r>
      </w:hyperlink>
    </w:p>
    <w:p w14:paraId="34ED5BAF"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AI GENERATED EVIDENCE BROUGHT BEFORE EUROPEAN COURTS - Himachal Pradesh National Law University,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60">
        <w:r w:rsidRPr="00185574">
          <w:rPr>
            <w:rFonts w:ascii="Google Sans" w:eastAsia="Google Sans" w:hAnsi="Google Sans" w:cs="Google Sans"/>
            <w:color w:val="0000EE"/>
            <w:sz w:val="24"/>
            <w:szCs w:val="24"/>
            <w:u w:val="single"/>
            <w:lang w:val="en-US"/>
          </w:rPr>
          <w:t>https://www.hpnlu.ac.in/PDF/c609c1a4-81ce-47ea-839b-5a5eb3fc2724.pdf</w:t>
        </w:r>
      </w:hyperlink>
    </w:p>
    <w:p w14:paraId="10E30DE3"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lastRenderedPageBreak/>
        <w:t xml:space="preserve">The use of AI by the Judiciary in </w:t>
      </w:r>
      <w:proofErr w:type="spellStart"/>
      <w:r w:rsidRPr="00185574">
        <w:rPr>
          <w:rFonts w:ascii="Google Sans" w:eastAsia="Google Sans" w:hAnsi="Google Sans" w:cs="Google Sans"/>
          <w:sz w:val="24"/>
          <w:szCs w:val="24"/>
          <w:lang w:val="en-US"/>
        </w:rPr>
        <w:t>LatAm</w:t>
      </w:r>
      <w:proofErr w:type="spellEnd"/>
      <w:r w:rsidRPr="00185574">
        <w:rPr>
          <w:rFonts w:ascii="Google Sans" w:eastAsia="Google Sans" w:hAnsi="Google Sans" w:cs="Google Sans"/>
          <w:sz w:val="24"/>
          <w:szCs w:val="24"/>
          <w:lang w:val="en-US"/>
        </w:rPr>
        <w:t xml:space="preserve"> Countries: Hallucination or Opportunity?,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61">
        <w:r w:rsidRPr="00185574">
          <w:rPr>
            <w:rFonts w:ascii="Google Sans" w:eastAsia="Google Sans" w:hAnsi="Google Sans" w:cs="Google Sans"/>
            <w:color w:val="0000EE"/>
            <w:sz w:val="24"/>
            <w:szCs w:val="24"/>
            <w:u w:val="single"/>
            <w:lang w:val="en-US"/>
          </w:rPr>
          <w:t>https://www.cpdpconferences.org/panels/the-use-of-ai-by-the-judiciary-in-latam-countries-hallucination-or-opportunity</w:t>
        </w:r>
      </w:hyperlink>
    </w:p>
    <w:p w14:paraId="7198719D"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PROMETEA: Transforming the administration of justice with artificial intelligence tools,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62">
        <w:r w:rsidRPr="00185574">
          <w:rPr>
            <w:rFonts w:ascii="Google Sans" w:eastAsia="Google Sans" w:hAnsi="Google Sans" w:cs="Google Sans"/>
            <w:color w:val="0000EE"/>
            <w:sz w:val="24"/>
            <w:szCs w:val="24"/>
            <w:u w:val="single"/>
            <w:lang w:val="en-US"/>
          </w:rPr>
          <w:t>https://unescochair.cs.uns.edu.ar/en/2020/06/prometea-transforming-the-administration-of-justice-with-artificial-intelligence-tools/</w:t>
        </w:r>
      </w:hyperlink>
    </w:p>
    <w:p w14:paraId="004B7E10"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COLOMBIA - </w:t>
      </w:r>
      <w:proofErr w:type="spellStart"/>
      <w:r>
        <w:rPr>
          <w:rFonts w:ascii="Google Sans" w:eastAsia="Google Sans" w:hAnsi="Google Sans" w:cs="Google Sans"/>
          <w:sz w:val="24"/>
          <w:szCs w:val="24"/>
        </w:rPr>
        <w:t>PretorIA</w:t>
      </w:r>
      <w:proofErr w:type="spellEnd"/>
      <w:r>
        <w:rPr>
          <w:rFonts w:ascii="Google Sans" w:eastAsia="Google Sans" w:hAnsi="Google Sans" w:cs="Google Sans"/>
          <w:sz w:val="24"/>
          <w:szCs w:val="24"/>
        </w:rPr>
        <w:t xml:space="preserve"> - Derechos Digitales, fecha de acceso: marzo 20, 2026, </w:t>
      </w:r>
      <w:hyperlink r:id="rId63">
        <w:r>
          <w:rPr>
            <w:rFonts w:ascii="Google Sans" w:eastAsia="Google Sans" w:hAnsi="Google Sans" w:cs="Google Sans"/>
            <w:color w:val="0000EE"/>
            <w:sz w:val="24"/>
            <w:szCs w:val="24"/>
            <w:u w:val="single"/>
          </w:rPr>
          <w:t>https://www.derechosdigitales.org/wp-content/uploads/05_Informe-Colombia-EN_180222.pdf</w:t>
        </w:r>
      </w:hyperlink>
    </w:p>
    <w:p w14:paraId="6B2FE02F"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Prometea: Revolutionizing Judicial Efficiency in Argentina Through Artificial Intelligence Powered Legal Solutions | Inter-American Law Review - University of Miami,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64">
        <w:r w:rsidRPr="00185574">
          <w:rPr>
            <w:rFonts w:ascii="Google Sans" w:eastAsia="Google Sans" w:hAnsi="Google Sans" w:cs="Google Sans"/>
            <w:color w:val="0000EE"/>
            <w:sz w:val="24"/>
            <w:szCs w:val="24"/>
            <w:u w:val="single"/>
            <w:lang w:val="en-US"/>
          </w:rPr>
          <w:t>https://inter-american-law-review.law.miami.edu/prometea-revolutionizing-judicial-efficiency-in-argentina-through-artificial-intelligence-powered-legal-solutions/</w:t>
        </w:r>
      </w:hyperlink>
    </w:p>
    <w:p w14:paraId="26B86A02" w14:textId="77777777" w:rsidR="00AF39F1" w:rsidRDefault="00000000">
      <w:pPr>
        <w:numPr>
          <w:ilvl w:val="0"/>
          <w:numId w:val="2"/>
        </w:numPr>
        <w:pBdr>
          <w:top w:val="nil"/>
          <w:left w:val="nil"/>
          <w:bottom w:val="nil"/>
          <w:right w:val="nil"/>
          <w:between w:val="nil"/>
        </w:pBdr>
      </w:pPr>
      <w:proofErr w:type="spellStart"/>
      <w:r>
        <w:rPr>
          <w:rFonts w:ascii="Google Sans" w:eastAsia="Google Sans" w:hAnsi="Google Sans" w:cs="Google Sans"/>
          <w:sz w:val="24"/>
          <w:szCs w:val="24"/>
        </w:rPr>
        <w:t>PretorIA</w:t>
      </w:r>
      <w:proofErr w:type="spellEnd"/>
      <w:r>
        <w:rPr>
          <w:rFonts w:ascii="Google Sans" w:eastAsia="Google Sans" w:hAnsi="Google Sans" w:cs="Google Sans"/>
          <w:sz w:val="24"/>
          <w:szCs w:val="24"/>
        </w:rPr>
        <w:t xml:space="preserve"> y Prometea unen esfuerzos en el desarrollo de inteligencia artificial - </w:t>
      </w:r>
      <w:proofErr w:type="spellStart"/>
      <w:r>
        <w:rPr>
          <w:rFonts w:ascii="Google Sans" w:eastAsia="Google Sans" w:hAnsi="Google Sans" w:cs="Google Sans"/>
          <w:sz w:val="24"/>
          <w:szCs w:val="24"/>
        </w:rPr>
        <w:t>Idealex.press</w:t>
      </w:r>
      <w:proofErr w:type="spellEnd"/>
      <w:r>
        <w:rPr>
          <w:rFonts w:ascii="Google Sans" w:eastAsia="Google Sans" w:hAnsi="Google Sans" w:cs="Google Sans"/>
          <w:sz w:val="24"/>
          <w:szCs w:val="24"/>
        </w:rPr>
        <w:t xml:space="preserve">, fecha de acceso: marzo 20, 2026, </w:t>
      </w:r>
      <w:hyperlink r:id="rId65">
        <w:r>
          <w:rPr>
            <w:rFonts w:ascii="Google Sans" w:eastAsia="Google Sans" w:hAnsi="Google Sans" w:cs="Google Sans"/>
            <w:color w:val="0000EE"/>
            <w:sz w:val="24"/>
            <w:szCs w:val="24"/>
            <w:u w:val="single"/>
          </w:rPr>
          <w:t>https://idealex.press/pretoria-y-prometea-unen-esfuerzos-en-el-desarrollo-de-inteligencia-artificial/</w:t>
        </w:r>
      </w:hyperlink>
    </w:p>
    <w:p w14:paraId="0BC7850E"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ya que “atendiendo razones de eficacia procesal, se vuelve necesario la utilización de la tecnología en apoyo a la administración de justicia; por lo que es conveniente establecer regulaciones que permitan dar herramientas a los aplicadores de la ley para la realización de la audiencia virtual” (considerando III). - Jurisprudencia, fecha de acceso: marzo 20, 2026, </w:t>
      </w:r>
      <w:hyperlink r:id="rId66">
        <w:r>
          <w:rPr>
            <w:rFonts w:ascii="Google Sans" w:eastAsia="Google Sans" w:hAnsi="Google Sans" w:cs="Google Sans"/>
            <w:color w:val="0000EE"/>
            <w:sz w:val="24"/>
            <w:szCs w:val="24"/>
            <w:u w:val="single"/>
          </w:rPr>
          <w:t>https://www.jurisprudencia.gob.sv/DocumentosBoveda/E/1/2010-2019/2019/01/D263E.HTML</w:t>
        </w:r>
      </w:hyperlink>
    </w:p>
    <w:p w14:paraId="004811A7" w14:textId="77777777" w:rsidR="00AF39F1"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Problemas frente a la actuación de pruebas en las audiencias virtuales - Revista - PUCP, fecha de acceso: marzo 20, 2026, </w:t>
      </w:r>
      <w:hyperlink r:id="rId67">
        <w:r>
          <w:rPr>
            <w:rFonts w:ascii="Google Sans" w:eastAsia="Google Sans" w:hAnsi="Google Sans" w:cs="Google Sans"/>
            <w:color w:val="0000EE"/>
            <w:sz w:val="24"/>
            <w:szCs w:val="24"/>
            <w:u w:val="single"/>
          </w:rPr>
          <w:t>https://revistas.pucp.edu.pe/index.php/derechoysociedad/article/view/24751/23861</w:t>
        </w:r>
      </w:hyperlink>
    </w:p>
    <w:p w14:paraId="67D9E38C"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Crossing Routes: Artificial Intelligence Governance and Human Rights in Latin America,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68">
        <w:r w:rsidRPr="00185574">
          <w:rPr>
            <w:rFonts w:ascii="Google Sans" w:eastAsia="Google Sans" w:hAnsi="Google Sans" w:cs="Google Sans"/>
            <w:color w:val="0000EE"/>
            <w:sz w:val="24"/>
            <w:szCs w:val="24"/>
            <w:u w:val="single"/>
            <w:lang w:val="en-US"/>
          </w:rPr>
          <w:t>https://cebri.org/revista/en/artigo/108/crossing-routes-artificial-intelligence-governance-and-human-rights-in-latin-america</w:t>
        </w:r>
      </w:hyperlink>
    </w:p>
    <w:p w14:paraId="2CFB4E53"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Tools for ethical use: Latin American and Caribbean judges receive - UNESCO,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69">
        <w:r w:rsidRPr="00185574">
          <w:rPr>
            <w:rFonts w:ascii="Google Sans" w:eastAsia="Google Sans" w:hAnsi="Google Sans" w:cs="Google Sans"/>
            <w:color w:val="0000EE"/>
            <w:sz w:val="24"/>
            <w:szCs w:val="24"/>
            <w:u w:val="single"/>
            <w:lang w:val="en-US"/>
          </w:rPr>
          <w:t>https://www.unesco.org/en/articles/tools-ethical-use-latin-american-and-caribbean-judges-receive-training-artificial-intelligence-and</w:t>
        </w:r>
      </w:hyperlink>
    </w:p>
    <w:p w14:paraId="3FF88D8F"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AI on Trial: Legal Models Hallucinate in 1 out of 6 (or More) Benchmarking Queries,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0">
        <w:r w:rsidRPr="00185574">
          <w:rPr>
            <w:rFonts w:ascii="Google Sans" w:eastAsia="Google Sans" w:hAnsi="Google Sans" w:cs="Google Sans"/>
            <w:color w:val="0000EE"/>
            <w:sz w:val="24"/>
            <w:szCs w:val="24"/>
            <w:u w:val="single"/>
            <w:lang w:val="en-US"/>
          </w:rPr>
          <w:t>https://hai.stanford.edu/news/ai-trial-legal-models-hallucinate-1-out-6-or-more-benchmarking-queries</w:t>
        </w:r>
      </w:hyperlink>
    </w:p>
    <w:p w14:paraId="3D5B84C3"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Psychological Implications of Artificial Intelligence in Judicial Decision-Making and Criminal Sentencing - ResearchGate,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1">
        <w:r w:rsidRPr="00185574">
          <w:rPr>
            <w:rFonts w:ascii="Google Sans" w:eastAsia="Google Sans" w:hAnsi="Google Sans" w:cs="Google Sans"/>
            <w:color w:val="0000EE"/>
            <w:sz w:val="24"/>
            <w:szCs w:val="24"/>
            <w:u w:val="single"/>
            <w:lang w:val="en-US"/>
          </w:rPr>
          <w:t>https://www.researchgate.net/publication/401171810_Psychological_Implications</w:t>
        </w:r>
        <w:r w:rsidRPr="00185574">
          <w:rPr>
            <w:rFonts w:ascii="Google Sans" w:eastAsia="Google Sans" w:hAnsi="Google Sans" w:cs="Google Sans"/>
            <w:color w:val="0000EE"/>
            <w:sz w:val="24"/>
            <w:szCs w:val="24"/>
            <w:u w:val="single"/>
            <w:lang w:val="en-US"/>
          </w:rPr>
          <w:lastRenderedPageBreak/>
          <w:t>_of_Artificial_Intelligence_in_Judicial_Decision-Making_and_Criminal_Sentencing/download</w:t>
        </w:r>
      </w:hyperlink>
    </w:p>
    <w:p w14:paraId="7B00F032"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The Place of Artificial Intelligence in Sentencing Decisions - University of New Hampshire,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2">
        <w:r w:rsidRPr="00185574">
          <w:rPr>
            <w:rFonts w:ascii="Google Sans" w:eastAsia="Google Sans" w:hAnsi="Google Sans" w:cs="Google Sans"/>
            <w:color w:val="0000EE"/>
            <w:sz w:val="24"/>
            <w:szCs w:val="24"/>
            <w:u w:val="single"/>
            <w:lang w:val="en-US"/>
          </w:rPr>
          <w:t>https://www.unh.edu/inquiryjournal/blog/2024/03/place-artificial-intelligence-sentencing-decisions</w:t>
        </w:r>
      </w:hyperlink>
    </w:p>
    <w:p w14:paraId="6E0BB9AE"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Erasing the Bias Against Using Artificial Intelligence to Predict Future Criminality: Algorithms are Color Blind and Never Tire,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3">
        <w:r w:rsidRPr="00185574">
          <w:rPr>
            <w:rFonts w:ascii="Google Sans" w:eastAsia="Google Sans" w:hAnsi="Google Sans" w:cs="Google Sans"/>
            <w:color w:val="0000EE"/>
            <w:sz w:val="24"/>
            <w:szCs w:val="24"/>
            <w:u w:val="single"/>
            <w:lang w:val="en-US"/>
          </w:rPr>
          <w:t>https://scholarship.law.uc.edu/cgi/viewcontent.cgi?article=1365&amp;context=uclr</w:t>
        </w:r>
      </w:hyperlink>
    </w:p>
    <w:p w14:paraId="52DF2A71"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The Rise of Artificial Intelligence in Sentencing Law Katelyn Oswalt A. Introduction The rise of Artificial Intelligence (AI) ha - Moritz College of Law,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4">
        <w:r w:rsidRPr="00185574">
          <w:rPr>
            <w:rFonts w:ascii="Google Sans" w:eastAsia="Google Sans" w:hAnsi="Google Sans" w:cs="Google Sans"/>
            <w:color w:val="0000EE"/>
            <w:sz w:val="24"/>
            <w:szCs w:val="24"/>
            <w:u w:val="single"/>
            <w:lang w:val="en-US"/>
          </w:rPr>
          <w:t>https://moritzlaw.osu.edu/sites/default/files/2025-11/Katelyn%20Oswalt%20Blog%203.pdf</w:t>
        </w:r>
      </w:hyperlink>
    </w:p>
    <w:p w14:paraId="566C0FFC"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AI sentencing cut jail time for low-risk offenders, but study finds racial bias persisted,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5">
        <w:r w:rsidRPr="00185574">
          <w:rPr>
            <w:rFonts w:ascii="Google Sans" w:eastAsia="Google Sans" w:hAnsi="Google Sans" w:cs="Google Sans"/>
            <w:color w:val="0000EE"/>
            <w:sz w:val="24"/>
            <w:szCs w:val="24"/>
            <w:u w:val="single"/>
            <w:lang w:val="en-US"/>
          </w:rPr>
          <w:t>https://news.tulane.edu/pr/ai-sentencing-cut-jail-time-low-risk-offenders-study-finds-racial-bias-persisted</w:t>
        </w:r>
      </w:hyperlink>
    </w:p>
    <w:p w14:paraId="0AAE15B6"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New rules for better science in forensic science, and now AI comes along - State Bar of Michigan,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6">
        <w:r w:rsidRPr="00185574">
          <w:rPr>
            <w:rFonts w:ascii="Google Sans" w:eastAsia="Google Sans" w:hAnsi="Google Sans" w:cs="Google Sans"/>
            <w:color w:val="0000EE"/>
            <w:sz w:val="24"/>
            <w:szCs w:val="24"/>
            <w:u w:val="single"/>
            <w:lang w:val="en-US"/>
          </w:rPr>
          <w:t>https://www.michbar.org/journal/Details/New-rules-for-better-science-in-forensic-science-and-now-AI-comes-along?ArticleID=5206</w:t>
        </w:r>
      </w:hyperlink>
    </w:p>
    <w:p w14:paraId="53838E74"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Artificial Intelligence in the Courtroom: Forensic Machines, Expert Witnesses, and the Confrontation Clause,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7">
        <w:r w:rsidRPr="00185574">
          <w:rPr>
            <w:rFonts w:ascii="Google Sans" w:eastAsia="Google Sans" w:hAnsi="Google Sans" w:cs="Google Sans"/>
            <w:color w:val="0000EE"/>
            <w:sz w:val="24"/>
            <w:szCs w:val="24"/>
            <w:u w:val="single"/>
            <w:lang w:val="en-US"/>
          </w:rPr>
          <w:t>https://scholarlycommons.law.case.edu/jolti/vol15/iss2/6/</w:t>
        </w:r>
      </w:hyperlink>
    </w:p>
    <w:p w14:paraId="78FCDFD7" w14:textId="77777777" w:rsidR="00AF39F1" w:rsidRPr="00185574" w:rsidRDefault="00000000">
      <w:pPr>
        <w:numPr>
          <w:ilvl w:val="0"/>
          <w:numId w:val="2"/>
        </w:numPr>
        <w:pBdr>
          <w:top w:val="nil"/>
          <w:left w:val="nil"/>
          <w:bottom w:val="nil"/>
          <w:right w:val="nil"/>
          <w:between w:val="nil"/>
        </w:pBdr>
        <w:rPr>
          <w:lang w:val="en-US"/>
        </w:rPr>
      </w:pPr>
      <w:r w:rsidRPr="00185574">
        <w:rPr>
          <w:rFonts w:ascii="Google Sans" w:eastAsia="Google Sans" w:hAnsi="Google Sans" w:cs="Google Sans"/>
          <w:sz w:val="24"/>
          <w:szCs w:val="24"/>
          <w:lang w:val="en-US"/>
        </w:rPr>
        <w:t xml:space="preserve">Judge skeptical over remorse of defendant who used AI to write apology letters, </w:t>
      </w:r>
      <w:proofErr w:type="spellStart"/>
      <w:r w:rsidRPr="00185574">
        <w:rPr>
          <w:rFonts w:ascii="Google Sans" w:eastAsia="Google Sans" w:hAnsi="Google Sans" w:cs="Google Sans"/>
          <w:sz w:val="24"/>
          <w:szCs w:val="24"/>
          <w:lang w:val="en-US"/>
        </w:rPr>
        <w:t>fecha</w:t>
      </w:r>
      <w:proofErr w:type="spellEnd"/>
      <w:r w:rsidRPr="00185574">
        <w:rPr>
          <w:rFonts w:ascii="Google Sans" w:eastAsia="Google Sans" w:hAnsi="Google Sans" w:cs="Google Sans"/>
          <w:sz w:val="24"/>
          <w:szCs w:val="24"/>
          <w:lang w:val="en-US"/>
        </w:rPr>
        <w:t xml:space="preserve"> de </w:t>
      </w:r>
      <w:proofErr w:type="spellStart"/>
      <w:r w:rsidRPr="00185574">
        <w:rPr>
          <w:rFonts w:ascii="Google Sans" w:eastAsia="Google Sans" w:hAnsi="Google Sans" w:cs="Google Sans"/>
          <w:sz w:val="24"/>
          <w:szCs w:val="24"/>
          <w:lang w:val="en-US"/>
        </w:rPr>
        <w:t>acceso</w:t>
      </w:r>
      <w:proofErr w:type="spellEnd"/>
      <w:r w:rsidRPr="00185574">
        <w:rPr>
          <w:rFonts w:ascii="Google Sans" w:eastAsia="Google Sans" w:hAnsi="Google Sans" w:cs="Google Sans"/>
          <w:sz w:val="24"/>
          <w:szCs w:val="24"/>
          <w:lang w:val="en-US"/>
        </w:rPr>
        <w:t xml:space="preserve">: </w:t>
      </w:r>
      <w:proofErr w:type="spellStart"/>
      <w:r w:rsidRPr="00185574">
        <w:rPr>
          <w:rFonts w:ascii="Google Sans" w:eastAsia="Google Sans" w:hAnsi="Google Sans" w:cs="Google Sans"/>
          <w:sz w:val="24"/>
          <w:szCs w:val="24"/>
          <w:lang w:val="en-US"/>
        </w:rPr>
        <w:t>marzo</w:t>
      </w:r>
      <w:proofErr w:type="spellEnd"/>
      <w:r w:rsidRPr="00185574">
        <w:rPr>
          <w:rFonts w:ascii="Google Sans" w:eastAsia="Google Sans" w:hAnsi="Google Sans" w:cs="Google Sans"/>
          <w:sz w:val="24"/>
          <w:szCs w:val="24"/>
          <w:lang w:val="en-US"/>
        </w:rPr>
        <w:t xml:space="preserve"> 20, 2026, </w:t>
      </w:r>
      <w:hyperlink r:id="rId78">
        <w:r w:rsidRPr="00185574">
          <w:rPr>
            <w:rFonts w:ascii="Google Sans" w:eastAsia="Google Sans" w:hAnsi="Google Sans" w:cs="Google Sans"/>
            <w:color w:val="0000EE"/>
            <w:sz w:val="24"/>
            <w:szCs w:val="24"/>
            <w:u w:val="single"/>
            <w:lang w:val="en-US"/>
          </w:rPr>
          <w:t>https://www.abajournal.com/news/article/judge-skeptical-over-remorse-of-defendant-who-used-ai-to-write-apologies</w:t>
        </w:r>
      </w:hyperlink>
    </w:p>
    <w:sectPr w:rsidR="00AF39F1" w:rsidRPr="0018557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0AC7D4-69FB-4DBA-8781-CFD2270493EF}"/>
  </w:font>
  <w:font w:name="Google Sans">
    <w:altName w:val="Calibri"/>
    <w:charset w:val="00"/>
    <w:family w:val="auto"/>
    <w:pitch w:val="default"/>
    <w:embedRegular r:id="rId2" w:fontKey="{41CC518F-B160-4C4E-9E95-1EA6CED606AE}"/>
    <w:embedBold r:id="rId3" w:fontKey="{05A82452-4F83-4DF7-BE7F-16656575054C}"/>
    <w:embedItalic r:id="rId4" w:fontKey="{475DF47E-6D3C-4B08-BDD2-9108ED727B0D}"/>
  </w:font>
  <w:font w:name="Calibri">
    <w:panose1 w:val="020F0502020204030204"/>
    <w:charset w:val="00"/>
    <w:family w:val="swiss"/>
    <w:pitch w:val="variable"/>
    <w:sig w:usb0="E4002EFF" w:usb1="C200247B" w:usb2="00000009" w:usb3="00000000" w:csb0="000001FF" w:csb1="00000000"/>
    <w:embedRegular r:id="rId5" w:fontKey="{6FCD8F87-71C6-4534-9B36-DF3186F08190}"/>
  </w:font>
  <w:font w:name="Cambria">
    <w:panose1 w:val="02040503050406030204"/>
    <w:charset w:val="00"/>
    <w:family w:val="roman"/>
    <w:pitch w:val="variable"/>
    <w:sig w:usb0="E00006FF" w:usb1="420024FF" w:usb2="02000000" w:usb3="00000000" w:csb0="0000019F" w:csb1="00000000"/>
    <w:embedRegular r:id="rId6" w:fontKey="{B3ECC6CE-46FB-40D3-95BF-314B3EBC3F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F3779"/>
    <w:multiLevelType w:val="multilevel"/>
    <w:tmpl w:val="A3C67D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13637E"/>
    <w:multiLevelType w:val="multilevel"/>
    <w:tmpl w:val="5D20EDC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58427091">
    <w:abstractNumId w:val="1"/>
  </w:num>
  <w:num w:numId="2" w16cid:durableId="103477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9F1"/>
    <w:rsid w:val="00010D67"/>
    <w:rsid w:val="00185574"/>
    <w:rsid w:val="00390155"/>
    <w:rsid w:val="00AF39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2505"/>
  <w15:docId w15:val="{849B11DC-79F9-4F28-AF48-D7E3F491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coreweave.com/blog/nvidia-h100-gpu-benchmark-results-what-we-learned-from-large-scale-gpu-testing" TargetMode="External"/><Relationship Id="rId21" Type="http://schemas.openxmlformats.org/officeDocument/2006/relationships/hyperlink" Target="https://research.nvidia.com/labs/nemotron/files/NVIDIA-Nemotron-3-Super-Technical-Report.pdf" TargetMode="External"/><Relationship Id="rId42" Type="http://schemas.openxmlformats.org/officeDocument/2006/relationships/hyperlink" Target="https://pmc.ncbi.nlm.nih.gov/articles/PMC9848224/" TargetMode="External"/><Relationship Id="rId47" Type="http://schemas.openxmlformats.org/officeDocument/2006/relationships/hyperlink" Target="https://liedetectortest.com/polygraph-examiner/polygraph-research/2022-multimodal-deception-detection-using/" TargetMode="External"/><Relationship Id="rId63" Type="http://schemas.openxmlformats.org/officeDocument/2006/relationships/hyperlink" Target="https://www.derechosdigitales.org/wp-content/uploads/05_Informe-Colombia-EN_180222.pdf" TargetMode="External"/><Relationship Id="rId68" Type="http://schemas.openxmlformats.org/officeDocument/2006/relationships/hyperlink" Target="https://cebri.org/revista/en/artigo/108/crossing-routes-artificial-intelligence-governance-and-human-rights-in-latin-america" TargetMode="External"/><Relationship Id="rId16" Type="http://schemas.openxmlformats.org/officeDocument/2006/relationships/hyperlink" Target="https://tiger-ai-lab.github.io/Vamba/" TargetMode="External"/><Relationship Id="rId11" Type="http://schemas.openxmlformats.org/officeDocument/2006/relationships/hyperlink" Target="https://galileo.ai/blog/mamba-linear-scaling-transformers" TargetMode="External"/><Relationship Id="rId24" Type="http://schemas.openxmlformats.org/officeDocument/2006/relationships/hyperlink" Target="https://eng-mhasan.medium.com/a-multimodal-llm-pipeline-for-video-understanding-b1738304f96d" TargetMode="External"/><Relationship Id="rId32" Type="http://schemas.openxmlformats.org/officeDocument/2006/relationships/hyperlink" Target="https://www.databasemart.com/blog/vllm-gpu-benchmark-h100" TargetMode="External"/><Relationship Id="rId37" Type="http://schemas.openxmlformats.org/officeDocument/2006/relationships/hyperlink" Target="https://ideas.repec.org/h/spr/sprchp/978-3-031-83157-7_20.html" TargetMode="External"/><Relationship Id="rId40" Type="http://schemas.openxmlformats.org/officeDocument/2006/relationships/hyperlink" Target="https://www.databricks.com/blog/mastering-multimodal-ai-twelve-labs" TargetMode="External"/><Relationship Id="rId45" Type="http://schemas.openxmlformats.org/officeDocument/2006/relationships/hyperlink" Target="https://pmc.ncbi.nlm.nih.gov/articles/PMC8217652/" TargetMode="External"/><Relationship Id="rId53" Type="http://schemas.openxmlformats.org/officeDocument/2006/relationships/hyperlink" Target="https://www.techandjustice.bsg.ox.ac.uk/research/spain" TargetMode="External"/><Relationship Id="rId58" Type="http://schemas.openxmlformats.org/officeDocument/2006/relationships/hyperlink" Target="https://ohrh.law.ox.ac.uk/artificial-intelligence-will-we-trust-the-european-court-of-human-rights/" TargetMode="External"/><Relationship Id="rId66" Type="http://schemas.openxmlformats.org/officeDocument/2006/relationships/hyperlink" Target="https://www.jurisprudencia.gob.sv/DocumentosBoveda/E/1/2010-2019/2019/01/D263E.HTML" TargetMode="External"/><Relationship Id="rId74" Type="http://schemas.openxmlformats.org/officeDocument/2006/relationships/hyperlink" Target="https://moritzlaw.osu.edu/sites/default/files/2025-11/Katelyn%20Oswalt%20Blog%203.pdf"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www.cpdpconferences.org/panels/the-use-of-ai-by-the-judiciary-in-latam-countries-hallucination-or-opportunity" TargetMode="External"/><Relationship Id="rId19" Type="http://schemas.openxmlformats.org/officeDocument/2006/relationships/hyperlink" Target="https://xuboshen.github.io/TimeViper/" TargetMode="External"/><Relationship Id="rId14" Type="http://schemas.openxmlformats.org/officeDocument/2006/relationships/hyperlink" Target="https://www.youtube.com/watch?v=BdmQQtyW9Tg" TargetMode="External"/><Relationship Id="rId22" Type="http://schemas.openxmlformats.org/officeDocument/2006/relationships/hyperlink" Target="https://s2datasystems.medium.com/building-a-video-rag-pipeline-for-enterprise-clients-using-azure-services-e2dffb949319" TargetMode="External"/><Relationship Id="rId27" Type="http://schemas.openxmlformats.org/officeDocument/2006/relationships/hyperlink" Target="https://developer.nvidia.com/blog/breaking-mlperf-training-records-with-nvidia-h100-gpus/" TargetMode="External"/><Relationship Id="rId30" Type="http://schemas.openxmlformats.org/officeDocument/2006/relationships/hyperlink" Target="https://jarvislabs.ai/" TargetMode="External"/><Relationship Id="rId35" Type="http://schemas.openxmlformats.org/officeDocument/2006/relationships/hyperlink" Target="https://www.mdpi.com/2076-3417/15/16/9205" TargetMode="External"/><Relationship Id="rId43" Type="http://schemas.openxmlformats.org/officeDocument/2006/relationships/hyperlink" Target="https://www.frontiersin.org/journals/psychology/articles/10.3389/fpsyg.2018.01672/full" TargetMode="External"/><Relationship Id="rId48" Type="http://schemas.openxmlformats.org/officeDocument/2006/relationships/hyperlink" Target="https://www.medindia.net/news/facial-expressions-can-reveal-fake-or-genuine-remorse-80715-1.htm" TargetMode="External"/><Relationship Id="rId56" Type="http://schemas.openxmlformats.org/officeDocument/2006/relationships/hyperlink" Target="https://verfassungsblog.de/ai-and-human-rights-at-the-european-court-of-human-rights/" TargetMode="External"/><Relationship Id="rId64" Type="http://schemas.openxmlformats.org/officeDocument/2006/relationships/hyperlink" Target="https://inter-american-law-review.law.miami.edu/prometea-revolutionizing-judicial-efficiency-in-argentina-through-artificial-intelligence-powered-legal-solutions/" TargetMode="External"/><Relationship Id="rId69" Type="http://schemas.openxmlformats.org/officeDocument/2006/relationships/hyperlink" Target="https://www.unesco.org/en/articles/tools-ethical-use-latin-american-and-caribbean-judges-receive-training-artificial-intelligence-and" TargetMode="External"/><Relationship Id="rId77" Type="http://schemas.openxmlformats.org/officeDocument/2006/relationships/hyperlink" Target="https://scholarlycommons.law.case.edu/jolti/vol15/iss2/6/" TargetMode="External"/><Relationship Id="rId8" Type="http://schemas.openxmlformats.org/officeDocument/2006/relationships/hyperlink" Target="https://machine-learning-made-simple.medium.com/transformers-vs-mamba-vs-linear-attention-who-wins-long-context-f1dc8ceb5ede" TargetMode="External"/><Relationship Id="rId51" Type="http://schemas.openxmlformats.org/officeDocument/2006/relationships/hyperlink" Target="https://www.boe.es/biblioteca_juridica/anuarios_derecho/abrir_pdf.php?id=ANU-P-1989-10014100160" TargetMode="External"/><Relationship Id="rId72" Type="http://schemas.openxmlformats.org/officeDocument/2006/relationships/hyperlink" Target="https://www.unh.edu/inquiryjournal/blog/2024/03/place-artificial-intelligence-sentencing-decision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together.ai/blog/mamba-3" TargetMode="External"/><Relationship Id="rId17" Type="http://schemas.openxmlformats.org/officeDocument/2006/relationships/hyperlink" Target="https://arxiv.org/abs/2511.16595" TargetMode="External"/><Relationship Id="rId25" Type="http://schemas.openxmlformats.org/officeDocument/2006/relationships/hyperlink" Target="https://www.spheron.network/blog/nvidia-h100-vs-h200/" TargetMode="External"/><Relationship Id="rId33" Type="http://schemas.openxmlformats.org/officeDocument/2006/relationships/hyperlink" Target="https://intuitionlabs.ai/articles/llm-api-pricing-comparison-2025" TargetMode="External"/><Relationship Id="rId38" Type="http://schemas.openxmlformats.org/officeDocument/2006/relationships/hyperlink" Target="https://www.mdpi.com/2079-9292/14/10/2066" TargetMode="External"/><Relationship Id="rId46" Type="http://schemas.openxmlformats.org/officeDocument/2006/relationships/hyperlink" Target="https://www.researchgate.net/publication/329741818_Microexpressions_Differentiate_Truths_From_Lies_About_Future_Malicious_Intent" TargetMode="External"/><Relationship Id="rId59" Type="http://schemas.openxmlformats.org/officeDocument/2006/relationships/hyperlink" Target="https://www.fedbar.org/blog/glukhin-v-russia-the-european-court-of-human-rights-first-step-into-the-age-of-ai-surveillance/" TargetMode="External"/><Relationship Id="rId67" Type="http://schemas.openxmlformats.org/officeDocument/2006/relationships/hyperlink" Target="https://revistas.pucp.edu.pe/index.php/derechoysociedad/article/view/24751/23861" TargetMode="External"/><Relationship Id="rId20" Type="http://schemas.openxmlformats.org/officeDocument/2006/relationships/hyperlink" Target="https://arxiv.org/html/2511.16595" TargetMode="External"/><Relationship Id="rId41" Type="http://schemas.openxmlformats.org/officeDocument/2006/relationships/hyperlink" Target="https://pmc.ncbi.nlm.nih.gov/articles/PMC10349868/" TargetMode="External"/><Relationship Id="rId54" Type="http://schemas.openxmlformats.org/officeDocument/2006/relationships/hyperlink" Target="https://www.abogacia.es/en/publicaciones/blogs/blog-derecho-penitenciario/ia-en-prisiones-riesgo-para-los-derechos-fundamentales-o-herramienta-de-reinsercion/" TargetMode="External"/><Relationship Id="rId62" Type="http://schemas.openxmlformats.org/officeDocument/2006/relationships/hyperlink" Target="https://unescochair.cs.uns.edu.ar/en/2020/06/prometea-transforming-the-administration-of-justice-with-artificial-intelligence-tools/" TargetMode="External"/><Relationship Id="rId70" Type="http://schemas.openxmlformats.org/officeDocument/2006/relationships/hyperlink" Target="https://hai.stanford.edu/news/ai-trial-legal-models-hallucinate-1-out-6-or-more-benchmarking-queries" TargetMode="External"/><Relationship Id="rId75" Type="http://schemas.openxmlformats.org/officeDocument/2006/relationships/hyperlink" Target="https://news.tulane.edu/pr/ai-sentencing-cut-jail-time-low-risk-offenders-study-finds-racial-bias-persisted"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sumitkrsharma-ai.medium.com/cnn-vs-transformers-vs-mamba-slm-vs-jamba-40c5bf91e3a0" TargetMode="External"/><Relationship Id="rId23" Type="http://schemas.openxmlformats.org/officeDocument/2006/relationships/hyperlink" Target="https://zilliz.com/blog/multimodal-pipelines-for-ai-applications" TargetMode="External"/><Relationship Id="rId28" Type="http://schemas.openxmlformats.org/officeDocument/2006/relationships/hyperlink" Target="https://lambda.ai/blog/nvidia-h100-gpu-deep-learning-performance-analysis" TargetMode="External"/><Relationship Id="rId36" Type="http://schemas.openxmlformats.org/officeDocument/2006/relationships/hyperlink" Target="https://www.vice.com/en/article/ai-system-detects-deception-in-courtroom-videos/" TargetMode="External"/><Relationship Id="rId49" Type="http://schemas.openxmlformats.org/officeDocument/2006/relationships/hyperlink" Target="https://pmc.ncbi.nlm.nih.gov/articles/PMC7844089/" TargetMode="External"/><Relationship Id="rId57" Type="http://schemas.openxmlformats.org/officeDocument/2006/relationships/hyperlink" Target="https://www.echr.coe.int/documents/d/echr/seminar-background-paper-2025-eng" TargetMode="External"/><Relationship Id="rId10" Type="http://schemas.openxmlformats.org/officeDocument/2006/relationships/hyperlink" Target="https://proceedings.scipy.org/articles/XHDR4700" TargetMode="External"/><Relationship Id="rId31" Type="http://schemas.openxmlformats.org/officeDocument/2006/relationships/hyperlink" Target="https://cyfuture.ai/pricing" TargetMode="External"/><Relationship Id="rId44" Type="http://schemas.openxmlformats.org/officeDocument/2006/relationships/hyperlink" Target="https://pmc.ncbi.nlm.nih.gov/articles/PMC12729489/" TargetMode="External"/><Relationship Id="rId52" Type="http://schemas.openxmlformats.org/officeDocument/2006/relationships/hyperlink" Target="https://dialnet.unirioja.es/descarga/articulo/46343.pdf" TargetMode="External"/><Relationship Id="rId60" Type="http://schemas.openxmlformats.org/officeDocument/2006/relationships/hyperlink" Target="https://www.hpnlu.ac.in/PDF/c609c1a4-81ce-47ea-839b-5a5eb3fc2724.pdf" TargetMode="External"/><Relationship Id="rId65" Type="http://schemas.openxmlformats.org/officeDocument/2006/relationships/hyperlink" Target="https://idealex.press/pretoria-y-prometea-unen-esfuerzos-en-el-desarrollo-de-inteligencia-artificial/" TargetMode="External"/><Relationship Id="rId73" Type="http://schemas.openxmlformats.org/officeDocument/2006/relationships/hyperlink" Target="https://scholarship.law.uc.edu/cgi/viewcontent.cgi?article=1365&amp;context=uclr" TargetMode="External"/><Relationship Id="rId78" Type="http://schemas.openxmlformats.org/officeDocument/2006/relationships/hyperlink" Target="https://www.abajournal.com/news/article/judge-skeptical-over-remorse-of-defendant-who-used-ai-to-write-apologies" TargetMode="External"/><Relationship Id="rId4" Type="http://schemas.openxmlformats.org/officeDocument/2006/relationships/webSettings" Target="webSettings.xml"/><Relationship Id="rId9" Type="http://schemas.openxmlformats.org/officeDocument/2006/relationships/hyperlink" Target="https://arxiv.org/html/2503.11579v1" TargetMode="External"/><Relationship Id="rId13" Type="http://schemas.openxmlformats.org/officeDocument/2006/relationships/hyperlink" Target="https://marketingagent.blog/2026/03/18/mamba-3-beats-transformers-what-ai-marketers-need-to-know-now/" TargetMode="External"/><Relationship Id="rId18" Type="http://schemas.openxmlformats.org/officeDocument/2006/relationships/hyperlink" Target="https://liner.com/review/timeviper-hybrid-mambatransformer-visionlanguage-model-for-efficient-long-video-understanding" TargetMode="External"/><Relationship Id="rId39" Type="http://schemas.openxmlformats.org/officeDocument/2006/relationships/hyperlink" Target="https://pmc.ncbi.nlm.nih.gov/articles/PMC6640856/" TargetMode="External"/><Relationship Id="rId34" Type="http://schemas.openxmlformats.org/officeDocument/2006/relationships/hyperlink" Target="https://www.youtube.com/watch?v=VIhxyYeL46Y" TargetMode="External"/><Relationship Id="rId50" Type="http://schemas.openxmlformats.org/officeDocument/2006/relationships/hyperlink" Target="https://www.researchgate.net/publication/398508549_LegalEye_Multimodal_Court_Deception_Detection_Across_Multiple_Languages" TargetMode="External"/><Relationship Id="rId55" Type="http://schemas.openxmlformats.org/officeDocument/2006/relationships/hyperlink" Target="https://revistas.colex.es/index.php/iuscriminale/article/view/299/416" TargetMode="External"/><Relationship Id="rId76" Type="http://schemas.openxmlformats.org/officeDocument/2006/relationships/hyperlink" Target="https://www.michbar.org/journal/Details/New-rules-for-better-science-in-forensic-science-and-now-AI-comes-along?ArticleID=5206" TargetMode="External"/><Relationship Id="rId7" Type="http://schemas.openxmlformats.org/officeDocument/2006/relationships/hyperlink" Target="https://arxiv.org/pdf/2408.15496" TargetMode="External"/><Relationship Id="rId71" Type="http://schemas.openxmlformats.org/officeDocument/2006/relationships/hyperlink" Target="https://www.researchgate.net/publication/401171810_Psychological_Implications_of_Artificial_Intelligence_in_Judicial_Decision-Making_and_Criminal_Sentencing/download" TargetMode="External"/><Relationship Id="rId2" Type="http://schemas.openxmlformats.org/officeDocument/2006/relationships/styles" Target="styles.xml"/><Relationship Id="rId29" Type="http://schemas.openxmlformats.org/officeDocument/2006/relationships/hyperlink" Target="https://modal.com/pric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9666</Words>
  <Characters>53166</Characters>
  <Application>Microsoft Office Word</Application>
  <DocSecurity>0</DocSecurity>
  <Lines>443</Lines>
  <Paragraphs>125</Paragraphs>
  <ScaleCrop>false</ScaleCrop>
  <Company/>
  <LinksUpToDate>false</LinksUpToDate>
  <CharactersWithSpaces>62707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Mireya Camacho Celis</cp:lastModifiedBy>
  <cp:revision>2</cp:revision>
  <dcterms:created xsi:type="dcterms:W3CDTF">2026-03-27T20:04:00Z</dcterms:created>
  <dcterms:modified xsi:type="dcterms:W3CDTF">2026-03-27T20:04:00Z</dcterms:modified>
</cp:coreProperties>
</file>