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19BB9" w14:textId="1165BB87" w:rsidR="003C337A" w:rsidRDefault="00000000">
      <w:pPr>
        <w:pStyle w:val="Ttulo1"/>
        <w:spacing w:before="0" w:after="120" w:line="275" w:lineRule="auto"/>
        <w:rPr>
          <w:color w:val="1F1F1F"/>
        </w:rPr>
      </w:pPr>
      <w:r>
        <w:rPr>
          <w:color w:val="1F1F1F"/>
        </w:rPr>
        <w:t xml:space="preserve">Estado del </w:t>
      </w:r>
      <w:r w:rsidR="00154023">
        <w:rPr>
          <w:color w:val="1F1F1F"/>
        </w:rPr>
        <w:t>a</w:t>
      </w:r>
      <w:r>
        <w:rPr>
          <w:color w:val="1F1F1F"/>
        </w:rPr>
        <w:t xml:space="preserve">rte: Construcción de </w:t>
      </w:r>
      <w:r w:rsidR="00154023">
        <w:rPr>
          <w:color w:val="1F1F1F"/>
        </w:rPr>
        <w:t>b</w:t>
      </w:r>
      <w:r>
        <w:rPr>
          <w:color w:val="1F1F1F"/>
        </w:rPr>
        <w:t xml:space="preserve">ases de </w:t>
      </w:r>
      <w:r w:rsidR="00154023">
        <w:rPr>
          <w:color w:val="1F1F1F"/>
        </w:rPr>
        <w:t>d</w:t>
      </w:r>
      <w:r>
        <w:rPr>
          <w:color w:val="1F1F1F"/>
        </w:rPr>
        <w:t xml:space="preserve">atos de </w:t>
      </w:r>
      <w:r w:rsidR="00154023">
        <w:rPr>
          <w:color w:val="1F1F1F"/>
        </w:rPr>
        <w:t>m</w:t>
      </w:r>
      <w:r>
        <w:rPr>
          <w:color w:val="1F1F1F"/>
        </w:rPr>
        <w:t xml:space="preserve">emoria de la </w:t>
      </w:r>
      <w:r w:rsidR="00154023">
        <w:rPr>
          <w:color w:val="1F1F1F"/>
        </w:rPr>
        <w:t>v</w:t>
      </w:r>
      <w:r>
        <w:rPr>
          <w:color w:val="1F1F1F"/>
        </w:rPr>
        <w:t xml:space="preserve">erdad a partir del </w:t>
      </w:r>
      <w:r w:rsidR="00154023">
        <w:rPr>
          <w:color w:val="1F1F1F"/>
        </w:rPr>
        <w:t>c</w:t>
      </w:r>
      <w:r>
        <w:rPr>
          <w:color w:val="1F1F1F"/>
        </w:rPr>
        <w:t xml:space="preserve">aso MAFAPO y los </w:t>
      </w:r>
      <w:r w:rsidR="00154023">
        <w:rPr>
          <w:color w:val="1F1F1F"/>
        </w:rPr>
        <w:t>e</w:t>
      </w:r>
      <w:r>
        <w:rPr>
          <w:color w:val="1F1F1F"/>
        </w:rPr>
        <w:t xml:space="preserve">stándares </w:t>
      </w:r>
      <w:r w:rsidR="00154023">
        <w:rPr>
          <w:color w:val="1F1F1F"/>
        </w:rPr>
        <w:t>p</w:t>
      </w:r>
      <w:r>
        <w:rPr>
          <w:color w:val="1F1F1F"/>
        </w:rPr>
        <w:t>robatorios de la Corte Interamericana de Derechos Humanos</w:t>
      </w:r>
    </w:p>
    <w:p w14:paraId="7A7FD0E2" w14:textId="77777777" w:rsidR="003C337A" w:rsidRDefault="00000000">
      <w:pPr>
        <w:pStyle w:val="Ttulo2"/>
        <w:spacing w:before="0" w:after="120" w:line="275" w:lineRule="auto"/>
        <w:rPr>
          <w:color w:val="1F1F1F"/>
        </w:rPr>
      </w:pPr>
      <w:r>
        <w:rPr>
          <w:color w:val="1F1F1F"/>
        </w:rPr>
        <w:t>Introducción</w:t>
      </w:r>
    </w:p>
    <w:p w14:paraId="147D75A6"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La intersección entre la memoria histórica, la justicia transicional, el derecho internacional de los derechos humanos y la archivística digital representa uno de los campos de estudio multidisciplinarios más complejos y urgentes de la contemporaneidad. La sistematización de las violaciones graves, masivas y sistemáticas a los derechos humanos ha transitado de la mera recolección de testimonios orales y documentales hacia la construcción de arquitecturas de datos sofisticadas, capaces de interactuar con los más altos y exigentes estándares probatorios internacionales. En el contexto específico del conflicto armado colombiano, este fenómeno adquiere una relevancia paradigmática a través del estudio del caso de las ejecuciones extrajudiciales, conocidas en el argot público y mediático bajo el eufemismo de "falsos positivos", y el incansable trabajo de resistencia, memoria y exigencia de justicia de la organización Madres de los Falsos Positivos de Soacha y Bogotá (MAFAPO).</w:t>
      </w:r>
      <w:r>
        <w:rPr>
          <w:color w:val="444746"/>
          <w:sz w:val="24"/>
          <w:szCs w:val="24"/>
          <w:vertAlign w:val="superscript"/>
        </w:rPr>
        <w:t>1</w:t>
      </w:r>
    </w:p>
    <w:p w14:paraId="2C172B69"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El presente informe exhaustivo establece el estado del arte sobre la creación de una base de datos de memoria de la verdad, tomando como eje empírico principal el archivo, las trayectorias y las narrativas de MAFAPO, y como eje normativo fundamental los estándares probatorios desarrollados por la Corte Interamericana de Derechos Humanos (Corte IDH). El análisis profundiza en los intrincados desafíos epistemológicos que supone traducir el dolor humano, el trauma y la memoria colectiva en metadatos estructurados y ontologías computacionales. Asimismo, examina la evolución de la flexibilización de la prueba indiciaria en los tribunales internacionales como mecanismo indispensable para desmantelar la macrocriminalidad estatal y la impunidad sistémica.</w:t>
      </w:r>
      <w:r>
        <w:rPr>
          <w:color w:val="444746"/>
          <w:sz w:val="24"/>
          <w:szCs w:val="24"/>
          <w:vertAlign w:val="superscript"/>
        </w:rPr>
        <w:t>3</w:t>
      </w:r>
      <w:r>
        <w:rPr>
          <w:color w:val="1F1F1F"/>
        </w:rPr>
        <w:t xml:space="preserve"> Finalmente, el documento aborda las metodologías tecnológicas de vanguardia —tales como los grafos de conocimiento, la estimación de sistemas múltiples para la deduplicación de registros y los protocolos de cadena de custodia digital— que resultan estrictamente necesarias para dotar a estos archivos de un doble valor inalienable: como patrimonio inmaterial de la memoria histórica de una nación y como acervo probatorio irrefutable en sede judicial.</w:t>
      </w:r>
      <w:r>
        <w:rPr>
          <w:color w:val="444746"/>
          <w:sz w:val="24"/>
          <w:szCs w:val="24"/>
          <w:vertAlign w:val="superscript"/>
        </w:rPr>
        <w:t>6</w:t>
      </w:r>
    </w:p>
    <w:p w14:paraId="0FE92746" w14:textId="45313EFC" w:rsidR="003C337A" w:rsidRDefault="00000000">
      <w:pPr>
        <w:pStyle w:val="Ttulo2"/>
        <w:spacing w:before="0" w:after="120" w:line="275" w:lineRule="auto"/>
        <w:rPr>
          <w:color w:val="1F1F1F"/>
        </w:rPr>
      </w:pPr>
      <w:r>
        <w:rPr>
          <w:color w:val="1F1F1F"/>
        </w:rPr>
        <w:t xml:space="preserve">Fundamentos </w:t>
      </w:r>
      <w:r w:rsidR="00154023">
        <w:rPr>
          <w:color w:val="1F1F1F"/>
        </w:rPr>
        <w:t>e</w:t>
      </w:r>
      <w:r>
        <w:rPr>
          <w:color w:val="1F1F1F"/>
        </w:rPr>
        <w:t xml:space="preserve">pistemológicos y </w:t>
      </w:r>
      <w:r w:rsidR="00154023">
        <w:rPr>
          <w:color w:val="1F1F1F"/>
        </w:rPr>
        <w:t>o</w:t>
      </w:r>
      <w:r>
        <w:rPr>
          <w:color w:val="1F1F1F"/>
        </w:rPr>
        <w:t xml:space="preserve">ntológicos de la </w:t>
      </w:r>
      <w:r w:rsidR="00154023">
        <w:rPr>
          <w:color w:val="1F1F1F"/>
        </w:rPr>
        <w:t>m</w:t>
      </w:r>
      <w:r>
        <w:rPr>
          <w:color w:val="1F1F1F"/>
        </w:rPr>
        <w:t xml:space="preserve">emoria de la </w:t>
      </w:r>
      <w:r w:rsidR="00154023">
        <w:rPr>
          <w:color w:val="1F1F1F"/>
        </w:rPr>
        <w:t>v</w:t>
      </w:r>
      <w:r>
        <w:rPr>
          <w:color w:val="1F1F1F"/>
        </w:rPr>
        <w:t>erdad</w:t>
      </w:r>
    </w:p>
    <w:p w14:paraId="7E9470E2"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La conceptualización y posterior construcción de una base de datos orientada a los fines de la </w:t>
      </w:r>
      <w:r>
        <w:rPr>
          <w:color w:val="1F1F1F"/>
        </w:rPr>
        <w:lastRenderedPageBreak/>
        <w:t>justicia transicional requiere, con carácter previo a cualquier diseño de arquitectura técnica, una fundamentación epistemológica rigurosa. La memoria, en contextos de postconflicto o de violencia estatal endémica, no opera simplemente como un repositorio estático o pasivo del pasado, sino que se erige como un dispositivo ético, jurídico y político fundamental para la reconstrucción del tejido social y la imaginación de futuros radicalmente diferentes.</w:t>
      </w:r>
      <w:r>
        <w:rPr>
          <w:color w:val="444746"/>
          <w:sz w:val="24"/>
          <w:szCs w:val="24"/>
          <w:vertAlign w:val="superscript"/>
        </w:rPr>
        <w:t>9</w:t>
      </w:r>
    </w:p>
    <w:p w14:paraId="1FBB80BF" w14:textId="0662D80A" w:rsidR="003C337A" w:rsidRDefault="00154023">
      <w:pPr>
        <w:pStyle w:val="Ttulo2"/>
        <w:spacing w:before="0" w:after="120" w:line="275" w:lineRule="auto"/>
        <w:rPr>
          <w:color w:val="1F1F1F"/>
        </w:rPr>
      </w:pPr>
      <w:r>
        <w:rPr>
          <w:color w:val="1F1F1F"/>
        </w:rPr>
        <w:t>La tensión dinámica entre la verdad histórica y la verdad judicial</w:t>
      </w:r>
    </w:p>
    <w:p w14:paraId="7746CF90"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En escenarios caracterizados por violaciones masivas y sistemáticas de derechos humanos, el concepto de "verdad" opera en múltiples dimensiones que frecuentemente entran en tensión. La teoría social y la filosofía hermenéutica contemporánea, apoyadas en conceptos estructurales como el distanciamiento crítico postulado por Paul Ricoeur y la fusión de horizontes articulada por Hans-Georg Gadamer, sugieren que la memoria histórica tiene el deber ineludible de deconstruir los mecanismos de exclusión, silenciamiento y asimetría presentes en los relatos oficiales del Estado.</w:t>
      </w:r>
      <w:r>
        <w:rPr>
          <w:color w:val="444746"/>
          <w:sz w:val="24"/>
          <w:szCs w:val="24"/>
          <w:vertAlign w:val="superscript"/>
        </w:rPr>
        <w:t>9</w:t>
      </w:r>
      <w:r>
        <w:rPr>
          <w:color w:val="1F1F1F"/>
        </w:rPr>
        <w:t xml:space="preserve"> Las poblaciones victimizadas, al ejercer la acción de "hacer memoria", generan narrativas que, aunque puedan ser catalogadas como parciales o fragmentarias desde una óptica estrictamente positivista, poseen una viveza y una legitimidad social innegable que logran revelar la verdadera ontología del conflicto armado.</w:t>
      </w:r>
      <w:r>
        <w:rPr>
          <w:color w:val="444746"/>
          <w:sz w:val="24"/>
          <w:szCs w:val="24"/>
          <w:vertAlign w:val="superscript"/>
        </w:rPr>
        <w:t>10</w:t>
      </w:r>
    </w:p>
    <w:p w14:paraId="7295BFA5"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La "verdad judicial", por el contrario, exige la comprobación fáctica de eventos a través de estándares procedimentales preestablecidos con el fin último de adjudicar responsabilidades penales, disciplinarias o patrimoniales, ya sean de carácter individual o estatal.</w:t>
      </w:r>
      <w:r>
        <w:rPr>
          <w:color w:val="444746"/>
          <w:sz w:val="24"/>
          <w:szCs w:val="24"/>
          <w:vertAlign w:val="superscript"/>
        </w:rPr>
        <w:t>3</w:t>
      </w:r>
      <w:r>
        <w:rPr>
          <w:color w:val="1F1F1F"/>
        </w:rPr>
        <w:t xml:space="preserve"> Una base de datos de memoria de la verdad asume, por tanto, el rol de puente epistemológico entre estas dos dimensiones aparentemente divergentes. Su función primordial es transformar el testimonio subjetivo, inherentemente cargado de trauma y significado personal, en datos estructurados mediante el uso de ontologías computacionales. Esta transformación permite evidenciar patrones macrocriminales, rastrear cadenas de mando y demostrar la sistematicidad de los crímenes, garantizando simultáneamente que no se pierda ni se diluya la dimensión humana, singular e irrepetible de cada víctima.</w:t>
      </w:r>
      <w:r>
        <w:rPr>
          <w:color w:val="444746"/>
          <w:sz w:val="24"/>
          <w:szCs w:val="24"/>
          <w:vertAlign w:val="superscript"/>
        </w:rPr>
        <w:t>6</w:t>
      </w:r>
      <w:r>
        <w:rPr>
          <w:color w:val="1F1F1F"/>
        </w:rPr>
        <w:t xml:space="preserve"> El análisis psicoanalítico del testimonio subraya que la verdad se estructura mediante la palabra; el decir del sujeto frente al horror encuentra en el archivo digital no solo un receptáculo, sino un amplificador de su función creadora y reparadora.</w:t>
      </w:r>
      <w:r>
        <w:rPr>
          <w:color w:val="444746"/>
          <w:sz w:val="24"/>
          <w:szCs w:val="24"/>
          <w:vertAlign w:val="superscript"/>
        </w:rPr>
        <w:t>11</w:t>
      </w:r>
    </w:p>
    <w:p w14:paraId="75E6125A" w14:textId="32C7A159" w:rsidR="003C337A" w:rsidRDefault="00000000">
      <w:pPr>
        <w:pStyle w:val="Ttulo2"/>
        <w:spacing w:before="0" w:after="120" w:line="275" w:lineRule="auto"/>
        <w:rPr>
          <w:color w:val="1F1F1F"/>
        </w:rPr>
      </w:pPr>
      <w:r>
        <w:rPr>
          <w:color w:val="1F1F1F"/>
        </w:rPr>
        <w:t xml:space="preserve">El </w:t>
      </w:r>
      <w:r w:rsidR="00154023">
        <w:rPr>
          <w:color w:val="1F1F1F"/>
        </w:rPr>
        <w:t>derecho a la verdad en la jurispruden</w:t>
      </w:r>
      <w:r>
        <w:rPr>
          <w:color w:val="1F1F1F"/>
        </w:rPr>
        <w:t>cia del Sistema Interamericano</w:t>
      </w:r>
    </w:p>
    <w:p w14:paraId="165AF8D0"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El derecho a la verdad ha experimentado una evolución dogmática y jurisprudencial de suma importancia en el seno del Sistema Interamericano de Derechos Humanos (SIDH). Inicialmente concebido como un derecho derivado y conexo al derecho de los familiares a conocer el paradero de las personas víctimas de desaparición forzada —íntimamente ligado a la prohibición absoluta de la tortura y los tratos crueles, inhumanos o degradantes—, este concepto se ha consolidado en la actualidad como un derecho autónomo.</w:t>
      </w:r>
      <w:r>
        <w:rPr>
          <w:color w:val="444746"/>
          <w:sz w:val="24"/>
          <w:szCs w:val="24"/>
          <w:vertAlign w:val="superscript"/>
        </w:rPr>
        <w:t>12</w:t>
      </w:r>
      <w:r>
        <w:rPr>
          <w:color w:val="1F1F1F"/>
        </w:rPr>
        <w:t xml:space="preserve"> La Corte IDH ha establecido de manera reiterada y contundente que las víctimas de violaciones de derechos </w:t>
      </w:r>
      <w:r>
        <w:rPr>
          <w:color w:val="1F1F1F"/>
        </w:rPr>
        <w:lastRenderedPageBreak/>
        <w:t>humanos, así como sus familiares, ostentan el derecho imprescriptible e inalienable a conocer la verdad íntegra sobre las circunstancias en que se cometieron dichas violaciones y, en los casos de fallecimiento o desaparición, a conocer el destino final de los restos mortales.</w:t>
      </w:r>
      <w:r>
        <w:rPr>
          <w:color w:val="444746"/>
          <w:sz w:val="24"/>
          <w:szCs w:val="24"/>
          <w:vertAlign w:val="superscript"/>
        </w:rPr>
        <w:t>13</w:t>
      </w:r>
    </w:p>
    <w:p w14:paraId="3B080F9E" w14:textId="77777777" w:rsidR="003C337A" w:rsidRDefault="00000000">
      <w:pPr>
        <w:pBdr>
          <w:top w:val="nil"/>
          <w:left w:val="nil"/>
          <w:bottom w:val="nil"/>
          <w:right w:val="nil"/>
          <w:between w:val="nil"/>
        </w:pBdr>
        <w:spacing w:after="150" w:line="275" w:lineRule="auto"/>
        <w:rPr>
          <w:color w:val="1F1F1F"/>
        </w:rPr>
      </w:pPr>
      <w:r>
        <w:rPr>
          <w:color w:val="1F1F1F"/>
        </w:rPr>
        <w:t>La materialización efectiva de este derecho trasciende la mera retórica y exige que los Estados adopten medidas positivas, entre las cuales destaca la obligación de preservar los archivos, expedientes y cualquier otra prueba documental, física o digital relativa a las violaciones.</w:t>
      </w:r>
      <w:r>
        <w:rPr>
          <w:color w:val="444746"/>
          <w:sz w:val="24"/>
          <w:szCs w:val="24"/>
          <w:vertAlign w:val="superscript"/>
        </w:rPr>
        <w:t>14</w:t>
      </w:r>
      <w:r>
        <w:rPr>
          <w:color w:val="1F1F1F"/>
        </w:rPr>
        <w:t xml:space="preserve"> Esta preservación tiene el propósito expreso de proteger la memoria colectiva contra el olvido institucionalizado y evitar categóricamente el surgimiento de tesis revisionistas o negacionistas que busquen reescribir la historia en favor de los perpetradores.</w:t>
      </w:r>
      <w:r>
        <w:rPr>
          <w:color w:val="444746"/>
          <w:sz w:val="24"/>
          <w:szCs w:val="24"/>
          <w:vertAlign w:val="superscript"/>
        </w:rPr>
        <w:t>12</w:t>
      </w:r>
      <w:r>
        <w:rPr>
          <w:color w:val="1F1F1F"/>
        </w:rPr>
        <w:t xml:space="preserve"> Por consiguiente, el diseño y la implementación de una base de datos de memoria de la verdad no constituye un mero ejercicio académico o de activismo social, sino el cumplimiento estricto de una obligación afirmativa impuesta por el corpus iuris del derecho internacional de los derechos humanos.</w:t>
      </w:r>
    </w:p>
    <w:p w14:paraId="3F4BE1E3" w14:textId="16AE9EB3" w:rsidR="003C337A" w:rsidRDefault="00000000">
      <w:pPr>
        <w:pStyle w:val="Ttulo2"/>
        <w:spacing w:before="0" w:after="120" w:line="275" w:lineRule="auto"/>
        <w:rPr>
          <w:color w:val="1F1F1F"/>
        </w:rPr>
      </w:pPr>
      <w:r>
        <w:rPr>
          <w:color w:val="1F1F1F"/>
        </w:rPr>
        <w:t xml:space="preserve">El </w:t>
      </w:r>
      <w:r w:rsidR="00154023">
        <w:rPr>
          <w:color w:val="1F1F1F"/>
        </w:rPr>
        <w:t>c</w:t>
      </w:r>
      <w:r>
        <w:rPr>
          <w:color w:val="1F1F1F"/>
        </w:rPr>
        <w:t xml:space="preserve">aso MAFAPO: </w:t>
      </w:r>
      <w:r w:rsidR="00154023">
        <w:rPr>
          <w:color w:val="1F1F1F"/>
        </w:rPr>
        <w:t>de la resistencia social a la sistematización de la violencia estatal</w:t>
      </w:r>
    </w:p>
    <w:p w14:paraId="5D2591DD"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La organización Madres de los Falsos Positivos de Soacha y Bogotá (MAFAPO) surge orgánicamente como una respuesta de resistencia cívica, jurídica y moral frente a uno de los episodios de violencia estatal más sistemáticos y graves en la historia reciente de América Latina y del hemisferio occidental: el asesinato deliberado de civiles no combatientes a manos de agentes del Estado, con el objetivo de ser presentados ilegítimamente como bajas en combate, una práctica atroz conocida bajo el eufemismo de "falsos positivos".</w:t>
      </w:r>
      <w:r>
        <w:rPr>
          <w:color w:val="444746"/>
          <w:sz w:val="24"/>
          <w:szCs w:val="24"/>
          <w:vertAlign w:val="superscript"/>
        </w:rPr>
        <w:t>1</w:t>
      </w:r>
    </w:p>
    <w:p w14:paraId="0559A14F" w14:textId="23A1BB5A" w:rsidR="003C337A" w:rsidRDefault="00000000">
      <w:pPr>
        <w:pStyle w:val="Ttulo2"/>
        <w:spacing w:before="0" w:after="120" w:line="275" w:lineRule="auto"/>
        <w:rPr>
          <w:color w:val="1F1F1F"/>
        </w:rPr>
      </w:pPr>
      <w:r>
        <w:rPr>
          <w:color w:val="1F1F1F"/>
        </w:rPr>
        <w:t xml:space="preserve">Dimensión y </w:t>
      </w:r>
      <w:r w:rsidR="00154023">
        <w:rPr>
          <w:color w:val="1F1F1F"/>
        </w:rPr>
        <w:t>e</w:t>
      </w:r>
      <w:r>
        <w:rPr>
          <w:color w:val="1F1F1F"/>
        </w:rPr>
        <w:t xml:space="preserve">structura del </w:t>
      </w:r>
      <w:r w:rsidR="00154023">
        <w:rPr>
          <w:color w:val="1F1F1F"/>
        </w:rPr>
        <w:t>p</w:t>
      </w:r>
      <w:r>
        <w:rPr>
          <w:color w:val="1F1F1F"/>
        </w:rPr>
        <w:t xml:space="preserve">atrón </w:t>
      </w:r>
      <w:r w:rsidR="00154023">
        <w:rPr>
          <w:color w:val="1F1F1F"/>
        </w:rPr>
        <w:t>m</w:t>
      </w:r>
      <w:r>
        <w:rPr>
          <w:color w:val="1F1F1F"/>
        </w:rPr>
        <w:t>acrocriminal</w:t>
      </w:r>
    </w:p>
    <w:p w14:paraId="5A8DF4E4"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La Jurisdicción Especial para la Paz (JEP) en Colombia, tribunal transicional surgido del Acuerdo de Paz, a través de sus providencias, notablemente el Auto 033 de 2021 mediante el cual se estructuró la estrategia de investigación del Caso 03, determinó tras un exhaustivo cruce de bases de datos que al menos 6.402 personas fueron asesinadas bajo esta modalidad operativa en todo el territorio nacional, concentrándose el mayor volumen de casos entre los años 2002 y 2008.</w:t>
      </w:r>
      <w:r>
        <w:rPr>
          <w:color w:val="444746"/>
          <w:sz w:val="24"/>
          <w:szCs w:val="24"/>
          <w:vertAlign w:val="superscript"/>
        </w:rPr>
        <w:t>16</w:t>
      </w:r>
      <w:r>
        <w:rPr>
          <w:color w:val="1F1F1F"/>
        </w:rPr>
        <w:t xml:space="preserve"> Este fenómeno criminal no consistió en modo alguno en actos aislados, excesos individuales o desviaciones de "manzanas podridas" dentro de la institución castrense, sino que respondió a un patrón sistémico, generalizado y planificado, soportado por estructuras del Estado, impulsado por directivas que ataban resultados operacionales a incentivos burocráticos y encubierto por el aparato de justicia penal militar y ordinaria.</w:t>
      </w:r>
      <w:r>
        <w:rPr>
          <w:color w:val="444746"/>
          <w:sz w:val="24"/>
          <w:szCs w:val="24"/>
          <w:vertAlign w:val="superscript"/>
        </w:rPr>
        <w:t>19</w:t>
      </w:r>
    </w:p>
    <w:p w14:paraId="12F8BA94"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Las víctimas, que en su abrumadora mayoría correspondían a hombres jóvenes pertenecientes a sectores socioeconómicos altamente vulnerables y marginados —como los habitantes del municipio de Soacha y la localidad de Ciudad Bolívar en Bogotá—, fueron contactadas y engañadas con falsas promesas de oportunidades laborales atractivas. Posteriormente, eran trasladadas de manera subrepticia a otras regiones del país, con una recurrencia notable hacia el departamento de Norte de Santander (específicamente la región de Ocaña), donde eran ejecutadas en estado de indefensión. Tras el homicidio, las escenas del crimen eran alteradas rutinariamente: los cuerpos eran vestidos con prendas militares o camufladas, y se les </w:t>
      </w:r>
      <w:r>
        <w:rPr>
          <w:color w:val="1F1F1F"/>
        </w:rPr>
        <w:lastRenderedPageBreak/>
        <w:t>"sembraban" armas de fuego para simular legalidad en el marco de supuestos enfrentamientos armados legítimos.</w:t>
      </w:r>
      <w:r>
        <w:rPr>
          <w:color w:val="444746"/>
          <w:sz w:val="24"/>
          <w:szCs w:val="24"/>
          <w:vertAlign w:val="superscript"/>
        </w:rPr>
        <w:t>2</w:t>
      </w:r>
    </w:p>
    <w:p w14:paraId="6B1A7AE2" w14:textId="423F4D6B" w:rsidR="003C337A" w:rsidRDefault="00000000">
      <w:pPr>
        <w:pStyle w:val="Ttulo2"/>
        <w:spacing w:before="0" w:after="120" w:line="275" w:lineRule="auto"/>
        <w:rPr>
          <w:color w:val="1F1F1F"/>
        </w:rPr>
      </w:pPr>
      <w:r>
        <w:rPr>
          <w:color w:val="1F1F1F"/>
        </w:rPr>
        <w:t xml:space="preserve">El </w:t>
      </w:r>
      <w:r w:rsidR="00154023">
        <w:rPr>
          <w:color w:val="1F1F1F"/>
        </w:rPr>
        <w:t>archivo del dolor, el litigio estético y la recolección evidencial</w:t>
      </w:r>
    </w:p>
    <w:p w14:paraId="71E91600"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Antes de la existencia y consolidación de macro-bases de datos institucionales, la memoria de las víctimas y la evidencia de los crímenes de MAFAPO se construyó a través de la resistencia corpórea continuada, la movilización en el espacio público, la dolorosa recolección comunitaria e individual de expedientes forenses y lo que la doctrina ha denominado como "litigio estético" o litigio artístico.</w:t>
      </w:r>
      <w:r>
        <w:rPr>
          <w:color w:val="444746"/>
          <w:sz w:val="24"/>
          <w:szCs w:val="24"/>
          <w:vertAlign w:val="superscript"/>
        </w:rPr>
        <w:t>1</w:t>
      </w:r>
      <w:r>
        <w:rPr>
          <w:color w:val="1F1F1F"/>
        </w:rPr>
        <w:t xml:space="preserve"> Las Madres de Soacha han utilizado intervenciones artísticas de profundo calado simbólico, tales como la exposición y apropiación del espacio público con botas pantaneras intervenidas con pintura en aerosol ("Mujeres con las botas bien puestas"), para simbolizar los asesinatos extrajudiciales, visibilizar la práctica criminal de calzar a sus hijos con botas que frecuentemente les quedaban grandes o estaban puestas al revés, y disputar la narrativa oficial de la guerra.</w:t>
      </w:r>
      <w:r>
        <w:rPr>
          <w:color w:val="444746"/>
          <w:sz w:val="24"/>
          <w:szCs w:val="24"/>
          <w:vertAlign w:val="superscript"/>
        </w:rPr>
        <w:t>15</w:t>
      </w:r>
    </w:p>
    <w:p w14:paraId="15FDFF67" w14:textId="77777777" w:rsidR="003C337A" w:rsidRDefault="00000000">
      <w:pPr>
        <w:pBdr>
          <w:top w:val="nil"/>
          <w:left w:val="nil"/>
          <w:bottom w:val="nil"/>
          <w:right w:val="nil"/>
          <w:between w:val="nil"/>
        </w:pBdr>
        <w:spacing w:after="150" w:line="275" w:lineRule="auto"/>
        <w:rPr>
          <w:color w:val="1F1F1F"/>
        </w:rPr>
      </w:pPr>
      <w:r>
        <w:rPr>
          <w:color w:val="1F1F1F"/>
        </w:rPr>
        <w:t>El acervo documental, testimonial y simbólico que conforma el archivo base de MAFAPO es sumamente heterogéneo y presenta desafíos formidables para su estandarización. Este archivo integra múltiples dimensiones de información que deben ser capturadas por cualquier base de datos que pretenda ser representativa y probatoria.</w:t>
      </w:r>
    </w:p>
    <w:p w14:paraId="4C3BE091" w14:textId="77777777" w:rsidR="003C337A" w:rsidRDefault="003C337A">
      <w:pPr>
        <w:pBdr>
          <w:top w:val="nil"/>
          <w:left w:val="nil"/>
          <w:bottom w:val="nil"/>
          <w:right w:val="nil"/>
          <w:between w:val="nil"/>
        </w:pBdr>
        <w:spacing w:line="275" w:lineRule="auto"/>
        <w:rPr>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C337A" w14:paraId="488B810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2305D3" w14:textId="6DA26A9C"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Dimensión del </w:t>
            </w:r>
            <w:r w:rsidR="00154023">
              <w:rPr>
                <w:b/>
                <w:bCs/>
                <w:color w:val="1F1F1F"/>
              </w:rPr>
              <w:t>a</w:t>
            </w:r>
            <w:r>
              <w:rPr>
                <w:b/>
                <w:bCs/>
                <w:color w:val="1F1F1F"/>
              </w:rPr>
              <w:t>rchivo MAFAPO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A33FC0" w14:textId="6EF3EDFC"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Tipología de la </w:t>
            </w:r>
            <w:r w:rsidR="00154023">
              <w:rPr>
                <w:b/>
                <w:bCs/>
                <w:color w:val="1F1F1F"/>
              </w:rPr>
              <w:t>información y evidencia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18941" w14:textId="0C639F91"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Función en la </w:t>
            </w:r>
            <w:r w:rsidR="00154023">
              <w:rPr>
                <w:b/>
                <w:bCs/>
                <w:color w:val="1F1F1F"/>
              </w:rPr>
              <w:t>construcción de la verdad y la justicia</w:t>
            </w:r>
          </w:p>
        </w:tc>
      </w:tr>
      <w:tr w:rsidR="003C337A" w14:paraId="3AB451A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E160C7" w14:textId="7AA3156A"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Dimensión </w:t>
            </w:r>
            <w:r w:rsidR="00154023">
              <w:rPr>
                <w:b/>
                <w:bCs/>
                <w:color w:val="1F1F1F"/>
              </w:rPr>
              <w:t>t</w:t>
            </w:r>
            <w:r>
              <w:rPr>
                <w:b/>
                <w:bCs/>
                <w:color w:val="1F1F1F"/>
              </w:rPr>
              <w:t>estimonial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4A8278"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Entrevistas fenomenológicas, relatos orales y escritos de las madres sobre la desaparición, la búsqueda en morgues y la estigmatización oficial.</w:t>
            </w:r>
            <w:r>
              <w:rPr>
                <w:color w:val="444746"/>
                <w:sz w:val="24"/>
                <w:szCs w:val="24"/>
                <w:vertAlign w:val="superscript"/>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BF6B4"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Restaura la dignidad de la víctima, documenta el daño psicosocial y evidencia la revictimización institucional.</w:t>
            </w:r>
            <w:r>
              <w:rPr>
                <w:color w:val="444746"/>
                <w:sz w:val="24"/>
                <w:szCs w:val="24"/>
                <w:vertAlign w:val="superscript"/>
              </w:rPr>
              <w:t>11</w:t>
            </w:r>
          </w:p>
        </w:tc>
      </w:tr>
      <w:tr w:rsidR="003C337A" w14:paraId="102B83A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E1E1C" w14:textId="68F1FA14"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Dimensión </w:t>
            </w:r>
            <w:r w:rsidR="00154023">
              <w:rPr>
                <w:b/>
                <w:bCs/>
                <w:color w:val="1F1F1F"/>
              </w:rPr>
              <w:t>d</w:t>
            </w:r>
            <w:r>
              <w:rPr>
                <w:b/>
                <w:bCs/>
                <w:color w:val="1F1F1F"/>
              </w:rPr>
              <w:t xml:space="preserve">ocumental </w:t>
            </w:r>
            <w:r w:rsidR="00154023">
              <w:rPr>
                <w:b/>
                <w:bCs/>
                <w:color w:val="1F1F1F"/>
              </w:rPr>
              <w:t>f</w:t>
            </w:r>
            <w:r>
              <w:rPr>
                <w:b/>
                <w:bCs/>
                <w:color w:val="1F1F1F"/>
              </w:rPr>
              <w:t>orense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5DDDB"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Registros civiles, certificados de defunción, informes de necropsia, protocolos de levantamiento de cadáveres y copias de expedientes penales.</w:t>
            </w:r>
            <w:r>
              <w:rPr>
                <w:color w:val="444746"/>
                <w:sz w:val="24"/>
                <w:szCs w:val="24"/>
                <w:vertAlign w:val="superscript"/>
              </w:rPr>
              <w:t>26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DCF18D"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Proporciona la evidencia material (</w:t>
            </w:r>
            <w:r>
              <w:rPr>
                <w:i/>
                <w:iCs/>
                <w:color w:val="1F1F1F"/>
              </w:rPr>
              <w:t>hard data</w:t>
            </w:r>
            <w:r>
              <w:rPr>
                <w:color w:val="1F1F1F"/>
              </w:rPr>
              <w:t>) necesaria para demostrar inconsistencias (ej. trayectoria de las balas vs. relato oficial del combate).</w:t>
            </w:r>
            <w:r>
              <w:rPr>
                <w:color w:val="444746"/>
                <w:sz w:val="24"/>
                <w:szCs w:val="24"/>
                <w:vertAlign w:val="superscript"/>
              </w:rPr>
              <w:t>28</w:t>
            </w:r>
          </w:p>
        </w:tc>
      </w:tr>
      <w:tr w:rsidR="003C337A" w14:paraId="5A90F0B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66071D" w14:textId="7E7D45F2"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Dimensión </w:t>
            </w:r>
            <w:r w:rsidR="00154023">
              <w:rPr>
                <w:b/>
                <w:bCs/>
                <w:color w:val="1F1F1F"/>
              </w:rPr>
              <w:t>a</w:t>
            </w:r>
            <w:r>
              <w:rPr>
                <w:b/>
                <w:bCs/>
                <w:color w:val="1F1F1F"/>
              </w:rPr>
              <w:t xml:space="preserve">rtística y </w:t>
            </w:r>
            <w:r w:rsidR="00154023">
              <w:rPr>
                <w:b/>
                <w:bCs/>
                <w:color w:val="1F1F1F"/>
              </w:rPr>
              <w:lastRenderedPageBreak/>
              <w:t>s</w:t>
            </w:r>
            <w:r>
              <w:rPr>
                <w:b/>
                <w:bCs/>
                <w:color w:val="1F1F1F"/>
              </w:rPr>
              <w:t>imbólica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BC9E4"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lastRenderedPageBreak/>
              <w:t xml:space="preserve">Registros fotográficos y </w:t>
            </w:r>
            <w:r>
              <w:rPr>
                <w:color w:val="1F1F1F"/>
              </w:rPr>
              <w:lastRenderedPageBreak/>
              <w:t>audiovisuales de exposiciones (ej. botas intervenidas), instalaciones artísticas, costureros de memoria y marchas.</w:t>
            </w:r>
            <w:r>
              <w:rPr>
                <w:color w:val="444746"/>
                <w:sz w:val="24"/>
                <w:szCs w:val="24"/>
                <w:vertAlign w:val="superscript"/>
              </w:rPr>
              <w:t>15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ECE819"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lastRenderedPageBreak/>
              <w:t xml:space="preserve">Opera como mecanismo de </w:t>
            </w:r>
            <w:r>
              <w:rPr>
                <w:color w:val="1F1F1F"/>
              </w:rPr>
              <w:lastRenderedPageBreak/>
              <w:t>reparación simbólica, litigio estético y movilización social contra el negacionismo histórico.</w:t>
            </w:r>
            <w:r>
              <w:rPr>
                <w:color w:val="444746"/>
                <w:sz w:val="24"/>
                <w:szCs w:val="24"/>
                <w:vertAlign w:val="superscript"/>
              </w:rPr>
              <w:t>15</w:t>
            </w:r>
          </w:p>
        </w:tc>
      </w:tr>
      <w:tr w:rsidR="003C337A" w14:paraId="052C663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0141F" w14:textId="1D72CC40" w:rsidR="003C337A" w:rsidRDefault="00000000">
            <w:pPr>
              <w:pBdr>
                <w:top w:val="nil"/>
                <w:left w:val="nil"/>
                <w:bottom w:val="nil"/>
                <w:right w:val="nil"/>
                <w:between w:val="nil"/>
              </w:pBdr>
              <w:spacing w:before="120" w:after="120" w:line="275" w:lineRule="auto"/>
              <w:rPr>
                <w:b/>
                <w:bCs/>
                <w:color w:val="1F1F1F"/>
              </w:rPr>
            </w:pPr>
            <w:r>
              <w:rPr>
                <w:b/>
                <w:bCs/>
                <w:color w:val="1F1F1F"/>
              </w:rPr>
              <w:lastRenderedPageBreak/>
              <w:t xml:space="preserve">Dimensión </w:t>
            </w:r>
            <w:r w:rsidR="00154023">
              <w:rPr>
                <w:b/>
                <w:bCs/>
                <w:color w:val="1F1F1F"/>
              </w:rPr>
              <w:t>e</w:t>
            </w:r>
            <w:r>
              <w:rPr>
                <w:b/>
                <w:bCs/>
                <w:color w:val="1F1F1F"/>
              </w:rPr>
              <w:t xml:space="preserve">spacial y </w:t>
            </w:r>
            <w:r w:rsidR="00154023">
              <w:rPr>
                <w:b/>
                <w:bCs/>
                <w:color w:val="1F1F1F"/>
              </w:rPr>
              <w:t>g</w:t>
            </w:r>
            <w:r>
              <w:rPr>
                <w:b/>
                <w:bCs/>
                <w:color w:val="1F1F1F"/>
              </w:rPr>
              <w:t>eográfica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0A91A"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Mapas de reclutamiento (Soacha/Bogotá) y sitios de ejecución o fosas comunes (Ocaña/Dabeiba) reconstruidos comunitariamente.</w:t>
            </w:r>
            <w:r>
              <w:rPr>
                <w:color w:val="444746"/>
                <w:sz w:val="24"/>
                <w:szCs w:val="24"/>
                <w:vertAlign w:val="superscript"/>
              </w:rPr>
              <w:t>18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241AFE"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Revela la logística del patrón macrocriminal, el desplazamiento forzado previo al asesinato y la coordinación entre unidades.</w:t>
            </w:r>
            <w:r>
              <w:rPr>
                <w:color w:val="444746"/>
                <w:sz w:val="24"/>
                <w:szCs w:val="24"/>
                <w:vertAlign w:val="superscript"/>
              </w:rPr>
              <w:t>32</w:t>
            </w:r>
          </w:p>
        </w:tc>
      </w:tr>
    </w:tbl>
    <w:p w14:paraId="135AA4E7" w14:textId="77777777" w:rsidR="003C337A" w:rsidRDefault="00000000">
      <w:pPr>
        <w:pBdr>
          <w:top w:val="nil"/>
          <w:left w:val="nil"/>
          <w:bottom w:val="nil"/>
          <w:right w:val="nil"/>
          <w:between w:val="nil"/>
        </w:pBdr>
        <w:spacing w:after="150" w:line="275" w:lineRule="auto"/>
        <w:rPr>
          <w:color w:val="1F1F1F"/>
        </w:rPr>
      </w:pPr>
      <w:r>
        <w:rPr>
          <w:color w:val="1F1F1F"/>
        </w:rPr>
        <w:t>La complejidad técnica y jurídica subyace en la necesidad imperiosa de sistematizar esta información diversa. La función del testimonio, entendida desde una perspectiva tanto psicoanalítica como social, estructura una verdad profundamente humana mediante la verbalización del trauma; sin embargo, para que esta verdad logre confrontar exitosamente la estructura de impunidad en los tribunales nacionales e internacionales, el relato debe traducirse, sin perder su esencia, en variables, campos estructurados y metadatos verificables que alimenten el acervo probatorio.</w:t>
      </w:r>
      <w:r>
        <w:rPr>
          <w:color w:val="444746"/>
          <w:sz w:val="24"/>
          <w:szCs w:val="24"/>
          <w:vertAlign w:val="superscript"/>
        </w:rPr>
        <w:t>11</w:t>
      </w:r>
      <w:r>
        <w:rPr>
          <w:color w:val="1F1F1F"/>
        </w:rPr>
        <w:t xml:space="preserve"> Es aquí donde la colaboración con iniciativas como </w:t>
      </w:r>
      <w:r>
        <w:rPr>
          <w:i/>
          <w:iCs/>
          <w:color w:val="1F1F1F"/>
        </w:rPr>
        <w:t>Forensic Architecture</w:t>
      </w:r>
      <w:r>
        <w:rPr>
          <w:color w:val="1F1F1F"/>
        </w:rPr>
        <w:t xml:space="preserve">, que articula el esclarecimiento de violaciones con metodologías de investigación espaciales y arquitectónicas </w:t>
      </w:r>
      <w:r>
        <w:rPr>
          <w:color w:val="444746"/>
          <w:sz w:val="24"/>
          <w:szCs w:val="24"/>
          <w:vertAlign w:val="superscript"/>
        </w:rPr>
        <w:t>23</w:t>
      </w:r>
      <w:r>
        <w:rPr>
          <w:color w:val="1F1F1F"/>
        </w:rPr>
        <w:t>, demuestra cómo los datos no tradicionales pueden reconstruir la escena del crimen a escala territorial.</w:t>
      </w:r>
    </w:p>
    <w:p w14:paraId="1774DFA1" w14:textId="548BA449" w:rsidR="003C337A" w:rsidRDefault="00000000">
      <w:pPr>
        <w:pStyle w:val="Ttulo2"/>
        <w:spacing w:before="0" w:after="120" w:line="275" w:lineRule="auto"/>
        <w:rPr>
          <w:color w:val="1F1F1F"/>
        </w:rPr>
      </w:pPr>
      <w:r>
        <w:rPr>
          <w:color w:val="1F1F1F"/>
        </w:rPr>
        <w:t xml:space="preserve">Estándares </w:t>
      </w:r>
      <w:r w:rsidR="00154023">
        <w:rPr>
          <w:color w:val="1F1F1F"/>
        </w:rPr>
        <w:t>p</w:t>
      </w:r>
      <w:r>
        <w:rPr>
          <w:color w:val="1F1F1F"/>
        </w:rPr>
        <w:t>robatorios de la Corte Interamericana de Derechos Humanos</w:t>
      </w:r>
    </w:p>
    <w:p w14:paraId="79B3CF51"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La creación de una base de datos que albergue el archivo de MAFAPO y aspire a tener un impacto real en la adjudicación de responsabilidades debe alinearse inexorablemente con la jurisprudencia y los estándares probatorios de la Corte Interamericana de Derechos Humanos. Los tribunales internacionales han reconocido históricamente las extremas y singulares dificultades operativas y procesales para establecer los hechos fácticos en casos de terrorismo de Estado, ejecuciones extrajudiciales o macrocriminalidad.</w:t>
      </w:r>
      <w:r>
        <w:rPr>
          <w:color w:val="444746"/>
          <w:sz w:val="24"/>
          <w:szCs w:val="24"/>
          <w:vertAlign w:val="superscript"/>
        </w:rPr>
        <w:t>4</w:t>
      </w:r>
      <w:r>
        <w:rPr>
          <w:color w:val="1F1F1F"/>
        </w:rPr>
        <w:t xml:space="preserve"> Esta dificultad radica en una asimetría fundamental: el propio aparato estatal, que ostenta el monopolio legítimo y legal de la investigación criminal, es simultáneamente el autor intelectual y material de los crímenes, y utiliza todo su poder institucional, coercitivo y logístico para encubrirlos, destruir la evidencia directa y amedrentar a los testigos.</w:t>
      </w:r>
      <w:r>
        <w:rPr>
          <w:color w:val="444746"/>
          <w:sz w:val="24"/>
          <w:szCs w:val="24"/>
          <w:vertAlign w:val="superscript"/>
        </w:rPr>
        <w:t>34</w:t>
      </w:r>
    </w:p>
    <w:p w14:paraId="02256099" w14:textId="51785553" w:rsidR="003C337A" w:rsidRDefault="00000000">
      <w:pPr>
        <w:pStyle w:val="Ttulo2"/>
        <w:spacing w:before="0" w:after="120" w:line="275" w:lineRule="auto"/>
        <w:rPr>
          <w:color w:val="1F1F1F"/>
        </w:rPr>
      </w:pPr>
      <w:r>
        <w:rPr>
          <w:color w:val="1F1F1F"/>
        </w:rPr>
        <w:t xml:space="preserve">La </w:t>
      </w:r>
      <w:r w:rsidR="00154023">
        <w:rPr>
          <w:color w:val="1F1F1F"/>
        </w:rPr>
        <w:t>flexibilización probatoria y el valor de la prueba indiciaria</w:t>
      </w:r>
    </w:p>
    <w:p w14:paraId="6EF77EF5"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Para contrarrestar de manera efectiva esta asimetría investigativa y evitar la denegación de justicia, la Corte IDH ha desarrollado y consolidado a lo largo de décadas el principio rector de la "flexibilización de los estándares probatorios". Este enfoque jurisprudencial se aleja </w:t>
      </w:r>
      <w:r>
        <w:rPr>
          <w:color w:val="1F1F1F"/>
        </w:rPr>
        <w:lastRenderedPageBreak/>
        <w:t>conscientemente del formalismo rigorista, la tarifa legal y las exigencias inflexibles propias del derecho penal clásico interno.</w:t>
      </w:r>
      <w:r>
        <w:rPr>
          <w:color w:val="444746"/>
          <w:sz w:val="24"/>
          <w:szCs w:val="24"/>
          <w:vertAlign w:val="superscript"/>
        </w:rPr>
        <w:t>35</w:t>
      </w:r>
      <w:r>
        <w:rPr>
          <w:color w:val="1F1F1F"/>
        </w:rPr>
        <w:t xml:space="preserve"> En casos relativos a ejecuciones extrajudiciales y desapariciones forzadas, la obtención de pruebas directas —tales como testigos oculares imparciales, confesiones voluntarias o documentos oficiales explícitamente incriminatorios (órdenes escritas de asesinato)— es excepcionalmente rara, si no imposible. Por consiguiente, la jurisprudencia interamericana otorga un valor probatorio preponderante, decisivo y plenamente válido a la </w:t>
      </w:r>
      <w:r>
        <w:rPr>
          <w:b/>
          <w:bCs/>
          <w:color w:val="1F1F1F"/>
        </w:rPr>
        <w:t>prueba indiciaria</w:t>
      </w:r>
      <w:r>
        <w:rPr>
          <w:color w:val="1F1F1F"/>
        </w:rPr>
        <w:t>, a las presunciones fundadas y a las deducciones lógicas extraídas del contexto.</w:t>
      </w:r>
      <w:r>
        <w:rPr>
          <w:color w:val="444746"/>
          <w:sz w:val="24"/>
          <w:szCs w:val="24"/>
          <w:vertAlign w:val="superscript"/>
        </w:rPr>
        <w:t>37</w:t>
      </w:r>
    </w:p>
    <w:p w14:paraId="27CE71BF"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El Consejo de Estado y la Corte Constitucional de la República de Colombia, a través de sentencias de unificación de hito (tales como la SU-060 de 2021 y la SU-287 de 2024), han internalizado progresivamente estos exigentes estándares interamericanos en el bloque de constitucionalidad.</w:t>
      </w:r>
      <w:r>
        <w:rPr>
          <w:color w:val="444746"/>
          <w:sz w:val="24"/>
          <w:szCs w:val="24"/>
          <w:vertAlign w:val="superscript"/>
        </w:rPr>
        <w:t>35</w:t>
      </w:r>
      <w:r>
        <w:rPr>
          <w:color w:val="1F1F1F"/>
        </w:rPr>
        <w:t xml:space="preserve"> Estas altas cortes han determinado de forma vinculante que, en los casos relacionados con "falsos positivos", los indicios concurrentes y convergentes son jurídicamente suficientes para establecer tanto la responsabilidad patrimonial (reparación directa) como la responsabilidad penal del Estado y sus agentes, combatiendo el defecto procedimental por exceso ritual manifiesto que históricamente ha revictimizado a los familiares al exigirles pruebas imposibles.</w:t>
      </w:r>
      <w:r>
        <w:rPr>
          <w:color w:val="444746"/>
          <w:sz w:val="24"/>
          <w:szCs w:val="24"/>
          <w:vertAlign w:val="superscript"/>
        </w:rPr>
        <w:t>35</w:t>
      </w:r>
    </w:p>
    <w:p w14:paraId="35EE76CB" w14:textId="77777777" w:rsidR="003C337A" w:rsidRDefault="003C337A">
      <w:pPr>
        <w:pBdr>
          <w:top w:val="nil"/>
          <w:left w:val="nil"/>
          <w:bottom w:val="nil"/>
          <w:right w:val="nil"/>
          <w:between w:val="nil"/>
        </w:pBdr>
        <w:spacing w:line="275" w:lineRule="auto"/>
        <w:rPr>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C337A" w14:paraId="1EE3EC0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00B63" w14:textId="6EAD75D9"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Elemento del </w:t>
            </w:r>
            <w:r w:rsidR="00154023">
              <w:rPr>
                <w:b/>
                <w:bCs/>
                <w:color w:val="1F1F1F"/>
              </w:rPr>
              <w:t>proceso judicial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18CEF" w14:textId="61A79AE2"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Estándar </w:t>
            </w:r>
            <w:r w:rsidR="00154023">
              <w:rPr>
                <w:b/>
                <w:bCs/>
                <w:color w:val="1F1F1F"/>
              </w:rPr>
              <w:t>probatorio tradicional (Derecho penal clásico interno)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8A0F6" w14:textId="3EB93961"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Estándar </w:t>
            </w:r>
            <w:r w:rsidR="00154023">
              <w:rPr>
                <w:b/>
                <w:bCs/>
                <w:color w:val="1F1F1F"/>
              </w:rPr>
              <w:t>f</w:t>
            </w:r>
            <w:r>
              <w:rPr>
                <w:b/>
                <w:bCs/>
                <w:color w:val="1F1F1F"/>
              </w:rPr>
              <w:t>lexibilizado (Jurisprudencia Corte IDH y Justicia Transicional)</w:t>
            </w:r>
          </w:p>
        </w:tc>
      </w:tr>
      <w:tr w:rsidR="003C337A" w14:paraId="330384C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2FA0D" w14:textId="20A3182C"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Naturaleza de la </w:t>
            </w:r>
            <w:r w:rsidR="00154023">
              <w:rPr>
                <w:b/>
                <w:bCs/>
                <w:color w:val="1F1F1F"/>
              </w:rPr>
              <w:t>p</w:t>
            </w:r>
            <w:r>
              <w:rPr>
                <w:b/>
                <w:bCs/>
                <w:color w:val="1F1F1F"/>
              </w:rPr>
              <w:t xml:space="preserve">rueba </w:t>
            </w:r>
            <w:r w:rsidR="00154023">
              <w:rPr>
                <w:b/>
                <w:bCs/>
                <w:color w:val="1F1F1F"/>
              </w:rPr>
              <w:t>e</w:t>
            </w:r>
            <w:r>
              <w:rPr>
                <w:b/>
                <w:bCs/>
                <w:color w:val="1F1F1F"/>
              </w:rPr>
              <w:t>xigida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9F83F7" w14:textId="77777777" w:rsidR="003C337A" w:rsidRDefault="00000000">
            <w:pPr>
              <w:pBdr>
                <w:top w:val="nil"/>
                <w:left w:val="nil"/>
                <w:bottom w:val="nil"/>
                <w:right w:val="nil"/>
                <w:between w:val="nil"/>
              </w:pBdr>
              <w:spacing w:before="120" w:after="120" w:line="275" w:lineRule="auto"/>
              <w:rPr>
                <w:color w:val="1F1F1F"/>
              </w:rPr>
            </w:pPr>
            <w:r>
              <w:rPr>
                <w:color w:val="1F1F1F"/>
              </w:rPr>
              <w:t>Dependencia casi absoluta de la prueba directa, testifical presencial y documental explícitamente concluyente para formar convicción.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9659E5"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Prevalencia y validez plena de la prueba indiciaria, la evidencia circunstancial, las presunciones y el análisis de contexto.</w:t>
            </w:r>
            <w:r>
              <w:rPr>
                <w:color w:val="444746"/>
                <w:sz w:val="24"/>
                <w:szCs w:val="24"/>
                <w:vertAlign w:val="superscript"/>
              </w:rPr>
              <w:t>4</w:t>
            </w:r>
          </w:p>
        </w:tc>
      </w:tr>
      <w:tr w:rsidR="003C337A" w14:paraId="15480D7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089C6F" w14:textId="402AEA7A"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Distribución de la </w:t>
            </w:r>
            <w:r w:rsidR="00154023">
              <w:rPr>
                <w:b/>
                <w:bCs/>
                <w:color w:val="1F1F1F"/>
              </w:rPr>
              <w:t>carga de la prueba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660A44" w14:textId="77777777" w:rsidR="003C337A" w:rsidRDefault="00000000">
            <w:pPr>
              <w:pBdr>
                <w:top w:val="nil"/>
                <w:left w:val="nil"/>
                <w:bottom w:val="nil"/>
                <w:right w:val="nil"/>
                <w:between w:val="nil"/>
              </w:pBdr>
              <w:spacing w:before="120" w:after="120" w:line="275" w:lineRule="auto"/>
              <w:rPr>
                <w:color w:val="1F1F1F"/>
              </w:rPr>
            </w:pPr>
            <w:r>
              <w:rPr>
                <w:color w:val="1F1F1F"/>
              </w:rPr>
              <w:t>Carga probatoria radicada estrictamente en la parte acusadora (Fiscalía) o en la víctima demandante (actor civil).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4B888"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Inversión o dinamización de la carga probatoria hacia el Estado, especialmente cuando la víctima estaba bajo su control o custodia.</w:t>
            </w:r>
            <w:r>
              <w:rPr>
                <w:color w:val="444746"/>
                <w:sz w:val="24"/>
                <w:szCs w:val="24"/>
                <w:vertAlign w:val="superscript"/>
              </w:rPr>
              <w:t>37</w:t>
            </w:r>
          </w:p>
        </w:tc>
      </w:tr>
      <w:tr w:rsidR="003C337A" w14:paraId="70E996B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39D385" w14:textId="3BAE2163"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Análisis del </w:t>
            </w:r>
            <w:r w:rsidR="00154023">
              <w:rPr>
                <w:b/>
                <w:bCs/>
                <w:color w:val="1F1F1F"/>
              </w:rPr>
              <w:t>contexto criminal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452C2" w14:textId="77777777" w:rsidR="003C337A" w:rsidRDefault="00000000">
            <w:pPr>
              <w:pBdr>
                <w:top w:val="nil"/>
                <w:left w:val="nil"/>
                <w:bottom w:val="nil"/>
                <w:right w:val="nil"/>
                <w:between w:val="nil"/>
              </w:pBdr>
              <w:spacing w:before="120" w:after="120" w:line="275" w:lineRule="auto"/>
              <w:rPr>
                <w:color w:val="1F1F1F"/>
              </w:rPr>
            </w:pPr>
            <w:r>
              <w:rPr>
                <w:color w:val="1F1F1F"/>
              </w:rPr>
              <w:t xml:space="preserve">Exclusión estricta de pruebas de referencia periféricas; análisis aislado del caso concreto (caso por </w:t>
            </w:r>
            <w:r>
              <w:rPr>
                <w:color w:val="1F1F1F"/>
              </w:rPr>
              <w:lastRenderedPageBreak/>
              <w:t>caso).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7B437"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lastRenderedPageBreak/>
              <w:t xml:space="preserve">Admisión del concepto de "comunidad de prueba"; integración de patrones macrocriminales, </w:t>
            </w:r>
            <w:r>
              <w:rPr>
                <w:i/>
                <w:iCs/>
                <w:color w:val="1F1F1F"/>
              </w:rPr>
              <w:t>modus operandi</w:t>
            </w:r>
            <w:r>
              <w:rPr>
                <w:color w:val="1F1F1F"/>
              </w:rPr>
              <w:t xml:space="preserve"> repetitivos e </w:t>
            </w:r>
            <w:r>
              <w:rPr>
                <w:color w:val="1F1F1F"/>
              </w:rPr>
              <w:lastRenderedPageBreak/>
              <w:t>informes de contexto.</w:t>
            </w:r>
            <w:r>
              <w:rPr>
                <w:color w:val="444746"/>
                <w:sz w:val="24"/>
                <w:szCs w:val="24"/>
                <w:vertAlign w:val="superscript"/>
              </w:rPr>
              <w:t>18</w:t>
            </w:r>
          </w:p>
        </w:tc>
      </w:tr>
      <w:tr w:rsidR="003C337A" w14:paraId="0CD8528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7EA88" w14:textId="159D36CD" w:rsidR="003C337A" w:rsidRDefault="00000000">
            <w:pPr>
              <w:pBdr>
                <w:top w:val="nil"/>
                <w:left w:val="nil"/>
                <w:bottom w:val="nil"/>
                <w:right w:val="nil"/>
                <w:between w:val="nil"/>
              </w:pBdr>
              <w:spacing w:before="120" w:after="120" w:line="275" w:lineRule="auto"/>
              <w:rPr>
                <w:b/>
                <w:bCs/>
                <w:color w:val="1F1F1F"/>
              </w:rPr>
            </w:pPr>
            <w:r>
              <w:rPr>
                <w:b/>
                <w:bCs/>
                <w:color w:val="1F1F1F"/>
              </w:rPr>
              <w:lastRenderedPageBreak/>
              <w:t xml:space="preserve">Admisibilidad de </w:t>
            </w:r>
            <w:r w:rsidR="00154023">
              <w:rPr>
                <w:b/>
                <w:bCs/>
                <w:color w:val="1F1F1F"/>
              </w:rPr>
              <w:t>fuentes alternativas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FD4D94" w14:textId="77777777" w:rsidR="003C337A" w:rsidRDefault="00000000">
            <w:pPr>
              <w:pBdr>
                <w:top w:val="nil"/>
                <w:left w:val="nil"/>
                <w:bottom w:val="nil"/>
                <w:right w:val="nil"/>
                <w:between w:val="nil"/>
              </w:pBdr>
              <w:spacing w:before="120" w:after="120" w:line="275" w:lineRule="auto"/>
              <w:rPr>
                <w:color w:val="1F1F1F"/>
              </w:rPr>
            </w:pPr>
            <w:r>
              <w:rPr>
                <w:color w:val="1F1F1F"/>
              </w:rPr>
              <w:t>Rigidez extrema en formalidades documentales (requerimiento ineludible de actas de defunción oficiales, peritajes institucionalizados).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60F5D"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Prevalencia del derecho sustancial; amplia admisión y valoración de recortes de prensa, informes de ONG, bases de datos civiles y testimonios de oídas corroborados.</w:t>
            </w:r>
            <w:r>
              <w:rPr>
                <w:color w:val="444746"/>
                <w:sz w:val="24"/>
                <w:szCs w:val="24"/>
                <w:vertAlign w:val="superscript"/>
              </w:rPr>
              <w:t>40</w:t>
            </w:r>
          </w:p>
        </w:tc>
      </w:tr>
    </w:tbl>
    <w:p w14:paraId="61E1F21B" w14:textId="3FD01952" w:rsidR="003C337A" w:rsidRDefault="00000000">
      <w:pPr>
        <w:pStyle w:val="Ttulo2"/>
        <w:spacing w:before="0" w:after="120" w:line="275" w:lineRule="auto"/>
        <w:rPr>
          <w:color w:val="1F1F1F"/>
        </w:rPr>
      </w:pPr>
      <w:r>
        <w:rPr>
          <w:color w:val="1F1F1F"/>
        </w:rPr>
        <w:t xml:space="preserve">La </w:t>
      </w:r>
      <w:r w:rsidR="00154023">
        <w:rPr>
          <w:color w:val="1F1F1F"/>
        </w:rPr>
        <w:t>inversión de la carga de la prueba frente al estado</w:t>
      </w:r>
    </w:p>
    <w:p w14:paraId="3411EE72"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Un estándar probatorio de importancia crítica establecido por la Corte IDH es la inversión de la carga de la prueba cuando se trata de vulneraciones contra personas que se encontraban bajo la custodia efectiva del Estado, o en contextos sociopolíticos donde se demuestra fehacientemente la existencia de un patrón sistemático de violaciones de derechos humanos tolerado o promovido por las autoridades. En estos escenarios específicos, no corresponde a las víctimas (como las madres que integran MAFAPO) probar con exactitud balística, forense o táctica cómo ocurrieron paso a paso los asesinatos de sus familiares; en su lugar, la carga procesal se traslada y se exige de manera perentoria al Estado demostrar de manera indubitable que no incurrió en una ejecución extrajudicial o arbitraria.</w:t>
      </w:r>
      <w:r>
        <w:rPr>
          <w:color w:val="444746"/>
          <w:sz w:val="24"/>
          <w:szCs w:val="24"/>
          <w:vertAlign w:val="superscript"/>
        </w:rPr>
        <w:t>37</w:t>
      </w:r>
    </w:p>
    <w:p w14:paraId="2EF54FD3"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Para que una base de datos cumpla con este estándar, no necesita contener confesiones firmadas por los perpetradores ni videos del acto homicida. Basta con que la base de datos documente exhaustiva, relacional y estadísticamente el </w:t>
      </w:r>
      <w:r>
        <w:rPr>
          <w:i/>
          <w:iCs/>
          <w:color w:val="1F1F1F"/>
        </w:rPr>
        <w:t>patrón</w:t>
      </w:r>
      <w:r>
        <w:rPr>
          <w:color w:val="1F1F1F"/>
        </w:rPr>
        <w:t xml:space="preserve"> de conducta. Por ejemplo, documentar que decenas de jóvenes fueron simultáneamente reclutados en Soacha, desaparecieron el mismo día, y fueron reportados como combatientes no identificados muertos en combate a cientos de kilómetros de distancia en un lapso inferior a 48 horas.</w:t>
      </w:r>
      <w:r>
        <w:rPr>
          <w:color w:val="444746"/>
          <w:sz w:val="24"/>
          <w:szCs w:val="24"/>
          <w:vertAlign w:val="superscript"/>
        </w:rPr>
        <w:t>2</w:t>
      </w:r>
      <w:r>
        <w:rPr>
          <w:color w:val="1F1F1F"/>
        </w:rPr>
        <w:t xml:space="preserve"> La sola articulación de este patrón de hechos en la base de datos es suficiente para activar la presunción de responsabilidad estatal bajo el derecho internacional, obligando al Estado a proveer una explicación satisfactoria y convincente que desvirtúe el indicio grave de ejecución extrajudicial.</w:t>
      </w:r>
      <w:r>
        <w:rPr>
          <w:color w:val="444746"/>
          <w:sz w:val="24"/>
          <w:szCs w:val="24"/>
          <w:vertAlign w:val="superscript"/>
        </w:rPr>
        <w:t>29</w:t>
      </w:r>
    </w:p>
    <w:p w14:paraId="14042546" w14:textId="0FCB0A74" w:rsidR="003C337A" w:rsidRDefault="00000000">
      <w:pPr>
        <w:pStyle w:val="Ttulo2"/>
        <w:spacing w:before="0" w:after="120" w:line="275" w:lineRule="auto"/>
        <w:rPr>
          <w:color w:val="1F1F1F"/>
        </w:rPr>
      </w:pPr>
      <w:r>
        <w:rPr>
          <w:color w:val="1F1F1F"/>
        </w:rPr>
        <w:t xml:space="preserve">Admisibilidad y </w:t>
      </w:r>
      <w:r w:rsidR="00154023">
        <w:rPr>
          <w:color w:val="1F1F1F"/>
        </w:rPr>
        <w:t>valor probatorio de informes de</w:t>
      </w:r>
      <w:r>
        <w:rPr>
          <w:color w:val="1F1F1F"/>
        </w:rPr>
        <w:t xml:space="preserve"> ONG y </w:t>
      </w:r>
      <w:r w:rsidR="00154023">
        <w:rPr>
          <w:color w:val="1F1F1F"/>
        </w:rPr>
        <w:t>archivos de memoria</w:t>
      </w:r>
    </w:p>
    <w:p w14:paraId="7E16BD2D"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La Corte Interamericana mantiene un enfoque amplio, garantista y pragmático sobre la admisibilidad de los medios de prueba. De estricta conformidad con el artículo 58 de su Reglamento interno, el Tribunal admite de manera rutinaria recortes de prensa, publicaciones periodísticas, informes finales de Comisiones de la Verdad y, de forma destacada, investigaciones, informes y bases de datos elaboradas por Organizaciones No Gubernamentales (ONG), siempre y cuando estos elementos corroboren aspectos fácticos del caso en litigio o reflejen hechos que han alcanzado la categoría de públicos y notorios.</w:t>
      </w:r>
      <w:r>
        <w:rPr>
          <w:color w:val="444746"/>
          <w:sz w:val="24"/>
          <w:szCs w:val="24"/>
          <w:vertAlign w:val="superscript"/>
        </w:rPr>
        <w:t>40</w:t>
      </w:r>
    </w:p>
    <w:p w14:paraId="496463E1"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lastRenderedPageBreak/>
        <w:t xml:space="preserve">Las bases de datos construidas por ONG e iniciativas de la sociedad civil ostentan un valor probatorio especial en el SIDH para demostrar el "contexto" imperante o para consolidar lo que la doctrina ha denominado la "comunidad de prueba". En casos emblemáticos contra el Estado colombiano, tales como el </w:t>
      </w:r>
      <w:r>
        <w:rPr>
          <w:i/>
          <w:iCs/>
          <w:color w:val="1F1F1F"/>
        </w:rPr>
        <w:t>Caso Valle Jaramillo y otros Vs. Colombia</w:t>
      </w:r>
      <w:r>
        <w:rPr>
          <w:color w:val="1F1F1F"/>
        </w:rPr>
        <w:t xml:space="preserve"> o el </w:t>
      </w:r>
      <w:r>
        <w:rPr>
          <w:i/>
          <w:iCs/>
          <w:color w:val="1F1F1F"/>
        </w:rPr>
        <w:t>Caso Isaza Uribe y otros Vs. Colombia</w:t>
      </w:r>
      <w:r>
        <w:rPr>
          <w:color w:val="1F1F1F"/>
        </w:rPr>
        <w:t xml:space="preserve">, la Corte ha aceptado e integrado a su acervo probatorio los argumentos y bases de datos de organizaciones civiles que demostraban patrones históricos de impunidad, </w:t>
      </w:r>
      <w:r>
        <w:rPr>
          <w:i/>
          <w:iCs/>
          <w:color w:val="1F1F1F"/>
        </w:rPr>
        <w:t>modus operandi</w:t>
      </w:r>
      <w:r>
        <w:rPr>
          <w:color w:val="1F1F1F"/>
        </w:rPr>
        <w:t xml:space="preserve"> particulares y contextos de persecución generalizada.</w:t>
      </w:r>
      <w:r>
        <w:rPr>
          <w:color w:val="444746"/>
          <w:sz w:val="24"/>
          <w:szCs w:val="24"/>
          <w:vertAlign w:val="superscript"/>
        </w:rPr>
        <w:t>3</w:t>
      </w:r>
      <w:r>
        <w:rPr>
          <w:color w:val="1F1F1F"/>
        </w:rPr>
        <w:t xml:space="preserve"> La Corte ha dictaminado reiteradamente que la adecuada y ponderada valoración de estas pruebas aportadas por la sociedad civil, sometidas a las reglas de la sana crítica y contrastadas con el resto del acervo, permite a los jueces internacionales llegar a una íntima convicción sobre la verdad material de los hechos alegados, compensando la deficiencia investigativa, la negligencia o la mala fe de las autoridades estatales internas.</w:t>
      </w:r>
      <w:r>
        <w:rPr>
          <w:color w:val="444746"/>
          <w:sz w:val="24"/>
          <w:szCs w:val="24"/>
          <w:vertAlign w:val="superscript"/>
        </w:rPr>
        <w:t>34</w:t>
      </w:r>
    </w:p>
    <w:p w14:paraId="2B588462" w14:textId="2F5BD5CE" w:rsidR="003C337A" w:rsidRDefault="00000000">
      <w:pPr>
        <w:pStyle w:val="Ttulo2"/>
        <w:spacing w:before="0" w:after="120" w:line="275" w:lineRule="auto"/>
        <w:rPr>
          <w:color w:val="1F1F1F"/>
        </w:rPr>
      </w:pPr>
      <w:r>
        <w:rPr>
          <w:color w:val="1F1F1F"/>
        </w:rPr>
        <w:t xml:space="preserve">Arquitectura de </w:t>
      </w:r>
      <w:r w:rsidR="00154023">
        <w:rPr>
          <w:color w:val="1F1F1F"/>
        </w:rPr>
        <w:t>datos y estandarización de metadatos para derechos humanos</w:t>
      </w:r>
    </w:p>
    <w:p w14:paraId="7DDB6EAD"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Para que el extenso y doloroso archivo de MAFAPO trascienda la dimensión puramente conmemorativa y alcance el exigente umbral de credibilidad requerido por los tribunales internacionales (Corte IDH) y los mecanismos de justicia transicional internos (como la JEP), la información debe estructurarse mediante la aplicación de metodologías científicas y arquitecturas tecnológicas de máxima rigurosidad.</w:t>
      </w:r>
      <w:r>
        <w:rPr>
          <w:color w:val="444746"/>
          <w:sz w:val="24"/>
          <w:szCs w:val="24"/>
          <w:vertAlign w:val="superscript"/>
        </w:rPr>
        <w:t>4</w:t>
      </w:r>
      <w:r>
        <w:rPr>
          <w:color w:val="1F1F1F"/>
        </w:rPr>
        <w:t xml:space="preserve"> La digitalización masiva de documentos forenses y testimonios en video resulta estéril desde el punto de vista analítico si no está respaldada por esquemas de metadatos estandarizados, interoperables y auditables.</w:t>
      </w:r>
      <w:r>
        <w:rPr>
          <w:color w:val="444746"/>
          <w:sz w:val="24"/>
          <w:szCs w:val="24"/>
          <w:vertAlign w:val="superscript"/>
        </w:rPr>
        <w:t>30</w:t>
      </w:r>
    </w:p>
    <w:p w14:paraId="6631E333" w14:textId="6CEEAA22" w:rsidR="003C337A" w:rsidRDefault="00000000">
      <w:pPr>
        <w:pStyle w:val="Ttulo2"/>
        <w:spacing w:before="0" w:after="120" w:line="275" w:lineRule="auto"/>
        <w:rPr>
          <w:color w:val="1F1F1F"/>
        </w:rPr>
      </w:pPr>
      <w:r>
        <w:rPr>
          <w:color w:val="1F1F1F"/>
        </w:rPr>
        <w:t xml:space="preserve">El </w:t>
      </w:r>
      <w:r w:rsidR="00154023">
        <w:rPr>
          <w:color w:val="1F1F1F"/>
        </w:rPr>
        <w:t>e</w:t>
      </w:r>
      <w:r>
        <w:rPr>
          <w:color w:val="1F1F1F"/>
        </w:rPr>
        <w:t xml:space="preserve">stándar HURIDOCS y la </w:t>
      </w:r>
      <w:r w:rsidR="00154023">
        <w:rPr>
          <w:color w:val="1F1F1F"/>
        </w:rPr>
        <w:t>p</w:t>
      </w:r>
      <w:r>
        <w:rPr>
          <w:color w:val="1F1F1F"/>
        </w:rPr>
        <w:t>lataforma Uwazi</w:t>
      </w:r>
    </w:p>
    <w:p w14:paraId="22E5FB36"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En el ámbito de la documentación de violaciones a los derechos humanos, la organización internacional HURIDOCS (Human Rights Information and Documentation Systems) ha desarrollado el marco metodológico de referencia a nivel global. Su metodología central, denominada </w:t>
      </w:r>
      <w:r>
        <w:rPr>
          <w:i/>
          <w:iCs/>
          <w:color w:val="1F1F1F"/>
        </w:rPr>
        <w:t>Events Standard Formats</w:t>
      </w:r>
      <w:r>
        <w:rPr>
          <w:color w:val="1F1F1F"/>
        </w:rPr>
        <w:t xml:space="preserve"> (ESF) o Formatos Estándar de Eventos, se fundamenta en la deconstrucción analítica de las violaciones de derechos humanos en entidades relacionales discretas. En lugar de registrar un texto plano, el sistema obliga al documentalista a identificar: </w:t>
      </w:r>
      <w:r>
        <w:rPr>
          <w:b/>
          <w:bCs/>
          <w:color w:val="1F1F1F"/>
        </w:rPr>
        <w:t>el evento</w:t>
      </w:r>
      <w:r>
        <w:rPr>
          <w:color w:val="1F1F1F"/>
        </w:rPr>
        <w:t xml:space="preserve"> específico (qué ocurrió, la localización geoespacial y la temporalidad), </w:t>
      </w:r>
      <w:r>
        <w:rPr>
          <w:b/>
          <w:bCs/>
          <w:color w:val="1F1F1F"/>
        </w:rPr>
        <w:t>la víctima</w:t>
      </w:r>
      <w:r>
        <w:rPr>
          <w:color w:val="1F1F1F"/>
        </w:rPr>
        <w:t xml:space="preserve"> (atributos demográficos y vulnerabilidades), y </w:t>
      </w:r>
      <w:r>
        <w:rPr>
          <w:b/>
          <w:bCs/>
          <w:color w:val="1F1F1F"/>
        </w:rPr>
        <w:t>el presunto perpetrador</w:t>
      </w:r>
      <w:r>
        <w:rPr>
          <w:color w:val="1F1F1F"/>
        </w:rPr>
        <w:t xml:space="preserve"> (filiación institucional, cadena de mando y acciones específicas).</w:t>
      </w:r>
      <w:r>
        <w:rPr>
          <w:color w:val="444746"/>
          <w:sz w:val="24"/>
          <w:szCs w:val="24"/>
          <w:vertAlign w:val="superscript"/>
        </w:rPr>
        <w:t>51</w:t>
      </w:r>
    </w:p>
    <w:p w14:paraId="6BE31EBB"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Esta estandarización se materializa operativamente a través de herramientas de software libre y código abierto desarrolladas por HURIDOCS, siendo </w:t>
      </w:r>
      <w:r>
        <w:rPr>
          <w:b/>
          <w:bCs/>
          <w:color w:val="1F1F1F"/>
        </w:rPr>
        <w:t>Uwazi</w:t>
      </w:r>
      <w:r>
        <w:rPr>
          <w:color w:val="1F1F1F"/>
        </w:rPr>
        <w:t xml:space="preserve"> la plataforma más destacada en la actualidad. Uwazi permite a las organizaciones de la sociedad civil y a las instituciones de memoria construir archivos documentales que protegen la memoria colectiva al tiempo que organizan la información de manera óptima para el litigio estratégico.</w:t>
      </w:r>
      <w:r>
        <w:rPr>
          <w:color w:val="444746"/>
          <w:sz w:val="24"/>
          <w:szCs w:val="24"/>
          <w:vertAlign w:val="superscript"/>
        </w:rPr>
        <w:t>53</w:t>
      </w:r>
      <w:r>
        <w:rPr>
          <w:color w:val="1F1F1F"/>
        </w:rPr>
        <w:t xml:space="preserve"> La plataforma facilita la creación de taxonomías complejas adaptables a la legislación local e internacional, permite la extracción automatizada de metadatos asistida por inteligencia artificial (procesamiento de lenguaje natural sobre sentencias o testimonios), y habilita el establecimiento de relaciones </w:t>
      </w:r>
      <w:r>
        <w:rPr>
          <w:color w:val="1F1F1F"/>
        </w:rPr>
        <w:lastRenderedPageBreak/>
        <w:t>multidireccionales entre documentos para rastrear casos intrincados de violencia de Estado.</w:t>
      </w:r>
      <w:r>
        <w:rPr>
          <w:color w:val="444746"/>
          <w:sz w:val="24"/>
          <w:szCs w:val="24"/>
          <w:vertAlign w:val="superscript"/>
        </w:rPr>
        <w:t>53</w:t>
      </w:r>
    </w:p>
    <w:p w14:paraId="031EDD27" w14:textId="77777777" w:rsidR="003C337A" w:rsidRDefault="00000000">
      <w:pPr>
        <w:pBdr>
          <w:top w:val="nil"/>
          <w:left w:val="nil"/>
          <w:bottom w:val="nil"/>
          <w:right w:val="nil"/>
          <w:between w:val="nil"/>
        </w:pBdr>
        <w:spacing w:after="150" w:line="275" w:lineRule="auto"/>
        <w:rPr>
          <w:color w:val="1F1F1F"/>
        </w:rPr>
      </w:pPr>
      <w:r>
        <w:rPr>
          <w:color w:val="1F1F1F"/>
        </w:rPr>
        <w:t>Los metadatos aplicados en estas bases de datos se clasifican en categorías esenciales para garantizar el rigor probatorio:</w:t>
      </w:r>
    </w:p>
    <w:p w14:paraId="5216E653" w14:textId="77777777" w:rsidR="003C337A" w:rsidRDefault="00000000">
      <w:pPr>
        <w:numPr>
          <w:ilvl w:val="0"/>
          <w:numId w:val="1"/>
        </w:numPr>
        <w:pBdr>
          <w:top w:val="nil"/>
          <w:left w:val="nil"/>
          <w:bottom w:val="nil"/>
          <w:right w:val="nil"/>
          <w:between w:val="nil"/>
        </w:pBdr>
        <w:spacing w:line="275" w:lineRule="auto"/>
      </w:pPr>
      <w:r>
        <w:rPr>
          <w:b/>
          <w:bCs/>
          <w:color w:val="1F1F1F"/>
        </w:rPr>
        <w:t>Metadatos Descriptivos:</w:t>
      </w:r>
      <w:r>
        <w:rPr>
          <w:color w:val="1F1F1F"/>
        </w:rPr>
        <w:t xml:space="preserve"> Identifican el contenido del recurso (ej. nombres de las víctimas de Soacha, unidad militar involucrada).</w:t>
      </w:r>
    </w:p>
    <w:p w14:paraId="538EF118" w14:textId="77777777" w:rsidR="003C337A" w:rsidRDefault="00000000">
      <w:pPr>
        <w:numPr>
          <w:ilvl w:val="0"/>
          <w:numId w:val="1"/>
        </w:numPr>
        <w:pBdr>
          <w:top w:val="nil"/>
          <w:left w:val="nil"/>
          <w:bottom w:val="nil"/>
          <w:right w:val="nil"/>
          <w:between w:val="nil"/>
        </w:pBdr>
        <w:spacing w:line="275" w:lineRule="auto"/>
      </w:pPr>
      <w:r>
        <w:rPr>
          <w:b/>
          <w:bCs/>
          <w:color w:val="1F1F1F"/>
        </w:rPr>
        <w:t>Metadatos Estructurales:</w:t>
      </w:r>
      <w:r>
        <w:rPr>
          <w:color w:val="1F1F1F"/>
        </w:rPr>
        <w:t xml:space="preserve"> Definen cómo se componen los objetos digitales complejos (ej. la relación entre un certificado de defunción y una fotografía de una fosa en Ocaña).</w:t>
      </w:r>
    </w:p>
    <w:p w14:paraId="2DC408A0" w14:textId="77777777" w:rsidR="003C337A" w:rsidRDefault="00000000">
      <w:pPr>
        <w:numPr>
          <w:ilvl w:val="0"/>
          <w:numId w:val="1"/>
        </w:numPr>
        <w:pBdr>
          <w:top w:val="nil"/>
          <w:left w:val="nil"/>
          <w:bottom w:val="nil"/>
          <w:right w:val="nil"/>
          <w:between w:val="nil"/>
        </w:pBdr>
        <w:spacing w:line="275" w:lineRule="auto"/>
      </w:pPr>
      <w:r>
        <w:rPr>
          <w:b/>
          <w:bCs/>
          <w:color w:val="1F1F1F"/>
        </w:rPr>
        <w:t>Metadatos Administrativos y Técnicos:</w:t>
      </w:r>
      <w:r>
        <w:rPr>
          <w:color w:val="1F1F1F"/>
        </w:rPr>
        <w:t xml:space="preserve"> Registran el formato del archivo, la fecha de digitalización y los derechos de acceso, fundamentales para probar que la evidencia no ha sido alterada.</w:t>
      </w:r>
    </w:p>
    <w:p w14:paraId="548BB2F9" w14:textId="77777777" w:rsidR="003C337A" w:rsidRDefault="00000000">
      <w:pPr>
        <w:numPr>
          <w:ilvl w:val="0"/>
          <w:numId w:val="1"/>
        </w:numPr>
        <w:pBdr>
          <w:top w:val="nil"/>
          <w:left w:val="nil"/>
          <w:bottom w:val="nil"/>
          <w:right w:val="nil"/>
          <w:between w:val="nil"/>
        </w:pBdr>
        <w:spacing w:after="120" w:line="275" w:lineRule="auto"/>
      </w:pPr>
      <w:r>
        <w:rPr>
          <w:b/>
          <w:bCs/>
          <w:color w:val="1F1F1F"/>
        </w:rPr>
        <w:t>Metadatos de Conservación:</w:t>
      </w:r>
      <w:r>
        <w:rPr>
          <w:color w:val="1F1F1F"/>
        </w:rPr>
        <w:t xml:space="preserve"> Aseguran que el documento digital pueda ser leído y autenticado décadas después de su creación.</w:t>
      </w:r>
      <w:r>
        <w:rPr>
          <w:color w:val="444746"/>
          <w:sz w:val="24"/>
          <w:szCs w:val="24"/>
          <w:vertAlign w:val="superscript"/>
        </w:rPr>
        <w:t>50</w:t>
      </w:r>
    </w:p>
    <w:p w14:paraId="0E5DD3ED" w14:textId="77777777" w:rsidR="003C337A" w:rsidRDefault="00000000">
      <w:pPr>
        <w:pBdr>
          <w:top w:val="nil"/>
          <w:left w:val="nil"/>
          <w:bottom w:val="nil"/>
          <w:right w:val="nil"/>
          <w:between w:val="nil"/>
        </w:pBdr>
        <w:spacing w:before="240" w:after="150" w:line="275" w:lineRule="auto"/>
        <w:rPr>
          <w:color w:val="444746"/>
          <w:sz w:val="24"/>
          <w:szCs w:val="24"/>
          <w:vertAlign w:val="superscript"/>
        </w:rPr>
      </w:pPr>
      <w:r>
        <w:rPr>
          <w:color w:val="1F1F1F"/>
        </w:rPr>
        <w:t xml:space="preserve">La adopción de estos esquemas de metadatos, alineados con estándares archivísticos como </w:t>
      </w:r>
      <w:r>
        <w:rPr>
          <w:i/>
          <w:iCs/>
          <w:color w:val="1F1F1F"/>
        </w:rPr>
        <w:t>Dublin Core</w:t>
      </w:r>
      <w:r>
        <w:rPr>
          <w:color w:val="1F1F1F"/>
        </w:rPr>
        <w:t>, asegura la interoperabilidad de la base de datos de MAFAPO con repositorios oficiales, previniendo el aislamiento de la información y permitiendo su integración en procesos judiciales de gran escala.</w:t>
      </w:r>
      <w:r>
        <w:rPr>
          <w:color w:val="444746"/>
          <w:sz w:val="24"/>
          <w:szCs w:val="24"/>
          <w:vertAlign w:val="superscript"/>
        </w:rPr>
        <w:t>57</w:t>
      </w:r>
    </w:p>
    <w:p w14:paraId="4097D9EE" w14:textId="2E3938C2" w:rsidR="003C337A" w:rsidRDefault="00000000">
      <w:pPr>
        <w:pStyle w:val="Ttulo2"/>
        <w:spacing w:before="0" w:after="120" w:line="275" w:lineRule="auto"/>
        <w:rPr>
          <w:color w:val="1F1F1F"/>
        </w:rPr>
      </w:pPr>
      <w:r>
        <w:rPr>
          <w:color w:val="1F1F1F"/>
        </w:rPr>
        <w:t xml:space="preserve">Metodologías </w:t>
      </w:r>
      <w:r w:rsidR="00154023">
        <w:rPr>
          <w:color w:val="1F1F1F"/>
        </w:rPr>
        <w:t>estadísticas y algorítmicas en la sistematización de víctimas</w:t>
      </w:r>
    </w:p>
    <w:p w14:paraId="1C904718"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Uno de los principales y más arduos desafíos metodológicos en el registro de víctimas de conflictos armados prolongados es la gestión del subregistro (víctimas no documentadas por miedo o lejanía) y la duplicidad de información (víctimas registradas múltiples veces bajo distintos nombres o por diferentes instituciones). La base de datos de MAFAPO, al interactuar inevitablemente con los mastodónticos repositorios del Estado como el Registro Único de Víctimas (RUV), la Fiscalía General de la Nación (FGN), el Centro Nacional de Memoria Histórica (CNMH) y la JEP, se enfrenta al reto técnico de consolidar registros profundamente fragmentados y en ocasiones contradictorios.</w:t>
      </w:r>
      <w:r>
        <w:rPr>
          <w:color w:val="444746"/>
          <w:sz w:val="24"/>
          <w:szCs w:val="24"/>
          <w:vertAlign w:val="superscript"/>
        </w:rPr>
        <w:t>59</w:t>
      </w:r>
    </w:p>
    <w:p w14:paraId="66043012" w14:textId="7F87784C" w:rsidR="003C337A" w:rsidRDefault="00000000">
      <w:pPr>
        <w:pStyle w:val="Ttulo2"/>
        <w:spacing w:before="0" w:after="120" w:line="275" w:lineRule="auto"/>
        <w:rPr>
          <w:color w:val="1F1F1F"/>
        </w:rPr>
      </w:pPr>
      <w:r>
        <w:rPr>
          <w:color w:val="1F1F1F"/>
        </w:rPr>
        <w:t xml:space="preserve">Deduplicación de </w:t>
      </w:r>
      <w:r w:rsidR="00154023">
        <w:rPr>
          <w:color w:val="1F1F1F"/>
        </w:rPr>
        <w:t>registros y enlace probabilístico</w:t>
      </w:r>
    </w:p>
    <w:p w14:paraId="49B4FFE6"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El </w:t>
      </w:r>
      <w:r>
        <w:rPr>
          <w:i/>
          <w:iCs/>
          <w:color w:val="1F1F1F"/>
        </w:rPr>
        <w:t>Human Rights Data Analysis Group</w:t>
      </w:r>
      <w:r>
        <w:rPr>
          <w:color w:val="1F1F1F"/>
        </w:rPr>
        <w:t xml:space="preserve"> (HRDAG) ha establecido la metodología estadística y computacional puntera a nivel mundial para resolver este problema. En su monumental trabajo de consultoría para el Caso 03 de la JEP y la Comisión de la Verdad (CEV) en Colombia, HRDAG procesó decenas de conjuntos de datos heterogéneos —que en suma contenían más de 22 millones de registros— utilizando técnicas avanzadas de enlace de registros probabilístico (</w:t>
      </w:r>
      <w:r>
        <w:rPr>
          <w:i/>
          <w:iCs/>
          <w:color w:val="1F1F1F"/>
        </w:rPr>
        <w:t>record linkage</w:t>
      </w:r>
      <w:r>
        <w:rPr>
          <w:color w:val="1F1F1F"/>
        </w:rPr>
        <w:t>) y modelos de aprendizaje automático (algoritmos de clasificación) para identificar de manera unívoca a las víctimas y desduplicar las bases de datos.</w:t>
      </w:r>
      <w:r>
        <w:rPr>
          <w:color w:val="444746"/>
          <w:sz w:val="24"/>
          <w:szCs w:val="24"/>
          <w:vertAlign w:val="superscript"/>
        </w:rPr>
        <w:t>62</w:t>
      </w:r>
    </w:p>
    <w:p w14:paraId="3FCA00D5"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En la ciencia de datos aplicada a los derechos humanos, el equilibrio matemático entre evitar "falsos positivos" (el error algorítmico de vincular dos registros que en la realidad corresponden a personas distintas) y "falsos negativos" (el error de no vincular dos registros que sí </w:t>
      </w:r>
      <w:r>
        <w:rPr>
          <w:color w:val="1F1F1F"/>
        </w:rPr>
        <w:lastRenderedPageBreak/>
        <w:t>pertenecen a la misma víctima) conlleva profundas implicaciones éticas y jurídicas.</w:t>
      </w:r>
      <w:r>
        <w:rPr>
          <w:color w:val="444746"/>
          <w:sz w:val="24"/>
          <w:szCs w:val="24"/>
          <w:vertAlign w:val="superscript"/>
        </w:rPr>
        <w:t>64</w:t>
      </w:r>
      <w:r>
        <w:rPr>
          <w:color w:val="1F1F1F"/>
        </w:rPr>
        <w:t xml:space="preserve"> Paradójicamente, en el modelado estadístico diseñado específicamente para esclarecer los crímenes de "falsos positivos" (ejecuciones extrajudiciales presentadas como bajas en combate), los científicos de datos de HRDAG tomaron la decisión consciente de ajustar los umbrales de sus algoritmos para permitir una tasa ligeramente mayor de emparejamientos estadísticos catalogados como falsos positivos. Esta decisión metodológica contraintuitiva garantizó que el sistema no subestimara de manera negligente la verdadera y aterradora magnitud de la maquinaria de exterminio, priorizando la visibilización del patrón macrocriminal sobre la limpieza aséptica pero restrictiva de la base de datos.</w:t>
      </w:r>
      <w:r>
        <w:rPr>
          <w:color w:val="444746"/>
          <w:sz w:val="24"/>
          <w:szCs w:val="24"/>
          <w:vertAlign w:val="superscript"/>
        </w:rPr>
        <w:t>64</w:t>
      </w:r>
    </w:p>
    <w:p w14:paraId="438EC2E5" w14:textId="3FD17F2C" w:rsidR="003C337A" w:rsidRDefault="00000000">
      <w:pPr>
        <w:pStyle w:val="Ttulo2"/>
        <w:spacing w:before="0" w:after="120" w:line="275" w:lineRule="auto"/>
        <w:rPr>
          <w:color w:val="1F1F1F"/>
        </w:rPr>
      </w:pPr>
      <w:r>
        <w:rPr>
          <w:color w:val="1F1F1F"/>
        </w:rPr>
        <w:t xml:space="preserve">Estimación de </w:t>
      </w:r>
      <w:r w:rsidR="00154023">
        <w:rPr>
          <w:color w:val="1F1F1F"/>
        </w:rPr>
        <w:t xml:space="preserve">sistemas múltiples </w:t>
      </w:r>
      <w:r>
        <w:rPr>
          <w:color w:val="1F1F1F"/>
        </w:rPr>
        <w:t>(MSE)</w:t>
      </w:r>
    </w:p>
    <w:p w14:paraId="56D7AB06"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Una vez que la base de datos está correctamente desduplicada y estructurada, la estadística inferencial permite revelar la magnitud de la violencia que nunca fue documentada directamente. Aplicando la técnica estadística de </w:t>
      </w:r>
      <w:r>
        <w:rPr>
          <w:b/>
          <w:bCs/>
          <w:color w:val="1F1F1F"/>
        </w:rPr>
        <w:t>Estimación de Sistemas Múltiples (Multiple Systems Estimation - MSE)</w:t>
      </w:r>
      <w:r>
        <w:rPr>
          <w:color w:val="1F1F1F"/>
        </w:rPr>
        <w:t>, originalmente derivada de la ecología de poblaciones, los analistas de HRDAG pudieron cuantificar estadísticamente el tamaño del universo total de víctimas, extrapolando la información a partir de las intersecciones y solapamientos entre las distintas bases de datos.</w:t>
      </w:r>
      <w:r>
        <w:rPr>
          <w:color w:val="444746"/>
          <w:sz w:val="24"/>
          <w:szCs w:val="24"/>
          <w:vertAlign w:val="superscript"/>
        </w:rPr>
        <w:t>8</w:t>
      </w:r>
      <w:r>
        <w:rPr>
          <w:color w:val="1F1F1F"/>
        </w:rPr>
        <w:t xml:space="preserve"> Este análisis de subregistro reveló cuántas ejecuciones extrajudiciales permanecen completamente invisibles para el Estado, proporcionando a los tribunales transicionales una comprensión dimensional precisa de la violencia que fortalece la aplicación de los estándares de contexto y macrocriminalidad exigidos por la Corte IDH.</w:t>
      </w:r>
      <w:r>
        <w:rPr>
          <w:color w:val="444746"/>
          <w:sz w:val="24"/>
          <w:szCs w:val="24"/>
          <w:vertAlign w:val="superscript"/>
        </w:rPr>
        <w:t>8</w:t>
      </w:r>
    </w:p>
    <w:p w14:paraId="2AC8EB3C" w14:textId="5C0E4B24" w:rsidR="003C337A" w:rsidRDefault="00000000">
      <w:pPr>
        <w:pStyle w:val="Ttulo2"/>
        <w:spacing w:before="0" w:after="120" w:line="275" w:lineRule="auto"/>
        <w:rPr>
          <w:color w:val="1F1F1F"/>
        </w:rPr>
      </w:pPr>
      <w:r>
        <w:rPr>
          <w:color w:val="1F1F1F"/>
        </w:rPr>
        <w:t xml:space="preserve">Ontologías </w:t>
      </w:r>
      <w:r w:rsidR="00154023">
        <w:rPr>
          <w:color w:val="1F1F1F"/>
        </w:rPr>
        <w:t>computacionales y grafos de conocimiento</w:t>
      </w:r>
    </w:p>
    <w:p w14:paraId="78F51F68"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Las violaciones de derechos humanos perpetradas a nivel estatal e institucional no ocurren en el vacío; operan como redes burocráticas, logísticas y criminales de extrema complejidad. Las bases de datos relacionales tradicionales, estructuradas en tablas bidimensionales rígidas, a menudo resultan insuficientes e ineficientes para consultar, visualizar y analizar en tiempo real las intrincadas cadenas de mando militar, la transferencia sistemática de oficiales entre batallones, los incentivos burocráticos detrás de los homicidios y las redes de reclutadores civiles que originaron las ejecuciones extrajudiciales en Colombia.</w:t>
      </w:r>
      <w:r>
        <w:rPr>
          <w:color w:val="444746"/>
          <w:sz w:val="24"/>
          <w:szCs w:val="24"/>
          <w:vertAlign w:val="superscript"/>
        </w:rPr>
        <w:t>19</w:t>
      </w:r>
    </w:p>
    <w:p w14:paraId="6EC2C4FA"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El estado del arte en la ingeniería de datos para la justicia transicional exige la implementación de </w:t>
      </w:r>
      <w:r>
        <w:rPr>
          <w:b/>
          <w:bCs/>
          <w:color w:val="1F1F1F"/>
        </w:rPr>
        <w:t>Grafos de Conocimiento</w:t>
      </w:r>
      <w:r>
        <w:rPr>
          <w:color w:val="1F1F1F"/>
        </w:rPr>
        <w:t xml:space="preserve"> (</w:t>
      </w:r>
      <w:r>
        <w:rPr>
          <w:i/>
          <w:iCs/>
          <w:color w:val="1F1F1F"/>
        </w:rPr>
        <w:t>Knowledge Graphs</w:t>
      </w:r>
      <w:r>
        <w:rPr>
          <w:color w:val="1F1F1F"/>
        </w:rPr>
        <w:t>), soportados por bases de datos orientadas a grafos como Neo4j y operadas mediante lenguajes de consulta declarativos de alta potencia como Cypher.</w:t>
      </w:r>
      <w:r>
        <w:rPr>
          <w:color w:val="444746"/>
          <w:sz w:val="24"/>
          <w:szCs w:val="24"/>
          <w:vertAlign w:val="superscript"/>
        </w:rPr>
        <w:t>68</w:t>
      </w:r>
      <w:r>
        <w:rPr>
          <w:color w:val="1F1F1F"/>
        </w:rPr>
        <w:t xml:space="preserve"> Mediante el diseño de una ontología computacional semántica que represente de forma nativa a las entidades involucradas (por ejemplo, nodos como "Víctima", "Brigada Móvil 15", "Reclutador Civil", "Fosa Común", "Directiva Ministerial") y sus relaciones direccionales explícitas (aristas como "Reclutado_por", "Asesinado_por", "Trasladado_a", "Comandado_por"), es posible mapear informáticamente la sistematicidad inherente de la macrocriminalidad.</w:t>
      </w:r>
      <w:r>
        <w:rPr>
          <w:color w:val="444746"/>
          <w:sz w:val="24"/>
          <w:szCs w:val="24"/>
          <w:vertAlign w:val="superscript"/>
        </w:rPr>
        <w:t>6</w:t>
      </w:r>
    </w:p>
    <w:p w14:paraId="410B8FC0"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La aplicación de algoritmos avanzados de teoría de grafos, tales como la detección de </w:t>
      </w:r>
      <w:r>
        <w:rPr>
          <w:color w:val="1F1F1F"/>
        </w:rPr>
        <w:lastRenderedPageBreak/>
        <w:t>comunidades (</w:t>
      </w:r>
      <w:r>
        <w:rPr>
          <w:i/>
          <w:iCs/>
          <w:color w:val="1F1F1F"/>
        </w:rPr>
        <w:t>Connected Components</w:t>
      </w:r>
      <w:r>
        <w:rPr>
          <w:color w:val="1F1F1F"/>
        </w:rPr>
        <w:t>) o la centralidad de grado (</w:t>
      </w:r>
      <w:r>
        <w:rPr>
          <w:i/>
          <w:iCs/>
          <w:color w:val="1F1F1F"/>
        </w:rPr>
        <w:t>Degree Centrality</w:t>
      </w:r>
      <w:r>
        <w:rPr>
          <w:color w:val="1F1F1F"/>
        </w:rPr>
        <w:t xml:space="preserve">) sobre estas arquitecturas, permite a los investigadores de derechos humanos identificar de manera automatizada </w:t>
      </w:r>
      <w:r>
        <w:rPr>
          <w:i/>
          <w:iCs/>
          <w:color w:val="1F1F1F"/>
        </w:rPr>
        <w:t>hotspots</w:t>
      </w:r>
      <w:r>
        <w:rPr>
          <w:color w:val="1F1F1F"/>
        </w:rPr>
        <w:t xml:space="preserve"> o patrones temporales-espaciales recurrentes de las ejecuciones.</w:t>
      </w:r>
      <w:r>
        <w:rPr>
          <w:color w:val="444746"/>
          <w:sz w:val="24"/>
          <w:szCs w:val="24"/>
          <w:vertAlign w:val="superscript"/>
        </w:rPr>
        <w:t>70</w:t>
      </w:r>
      <w:r>
        <w:rPr>
          <w:color w:val="1F1F1F"/>
        </w:rPr>
        <w:t xml:space="preserve"> Esta capacidad analítica fortalece de forma decisiva la carga indiciaria requerida por la jurisprudencia de la Corte IDH, transformando anécdotas dispersas en una topología irrefutable del terror de Estado. Asimismo, la validación contra estos grafos de conocimiento estructurados y basados en reglas mitiga el riesgo de "envenenamiento de datos" o desinformación, asegurando que las inferencias generadas por la inteligencia artificial sobre el archivo se contrasten contra una base de conocimiento limpia, curada e inmutable.</w:t>
      </w:r>
      <w:r>
        <w:rPr>
          <w:color w:val="444746"/>
          <w:sz w:val="24"/>
          <w:szCs w:val="24"/>
          <w:vertAlign w:val="superscript"/>
        </w:rPr>
        <w:t>72</w:t>
      </w:r>
    </w:p>
    <w:p w14:paraId="73968600" w14:textId="71B03A1D" w:rsidR="003C337A" w:rsidRDefault="00000000">
      <w:pPr>
        <w:pStyle w:val="Ttulo2"/>
        <w:spacing w:before="0" w:after="120" w:line="275" w:lineRule="auto"/>
        <w:rPr>
          <w:color w:val="1F1F1F"/>
        </w:rPr>
      </w:pPr>
      <w:r>
        <w:rPr>
          <w:color w:val="1F1F1F"/>
        </w:rPr>
        <w:t xml:space="preserve">Cadena de </w:t>
      </w:r>
      <w:r w:rsidR="00154023">
        <w:rPr>
          <w:color w:val="1F1F1F"/>
        </w:rPr>
        <w:t>custodia digital, protocolos internacionales y preservación</w:t>
      </w:r>
    </w:p>
    <w:p w14:paraId="709F9240"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Para que los elementos documentales, fotográficos, testimoniales y digitales extraídos, recopilados o generados por organizaciones de base como MAFAPO adquieran peso probatorio incuestionable ante tribunales nacionales o internacionales, deben someterse a estrictos protocolos de cadena de custodia digital desde el momento de su concepción o captura.</w:t>
      </w:r>
      <w:r>
        <w:rPr>
          <w:color w:val="444746"/>
          <w:sz w:val="24"/>
          <w:szCs w:val="24"/>
          <w:vertAlign w:val="superscript"/>
        </w:rPr>
        <w:t>73</w:t>
      </w:r>
    </w:p>
    <w:p w14:paraId="34BAA2F4" w14:textId="77777777" w:rsidR="003C337A" w:rsidRDefault="00000000">
      <w:pPr>
        <w:pStyle w:val="Ttulo2"/>
        <w:spacing w:before="0" w:after="120" w:line="275" w:lineRule="auto"/>
        <w:rPr>
          <w:color w:val="1F1F1F"/>
        </w:rPr>
      </w:pPr>
      <w:r>
        <w:rPr>
          <w:color w:val="1F1F1F"/>
        </w:rPr>
        <w:t>El Protocolo de Minnesota y el Protocolo de la Esperanza</w:t>
      </w:r>
    </w:p>
    <w:p w14:paraId="770A2E4C"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El marco normativo internacional rector en esta materia es el </w:t>
      </w:r>
      <w:r>
        <w:rPr>
          <w:b/>
          <w:bCs/>
          <w:color w:val="1F1F1F"/>
        </w:rPr>
        <w:t>Protocolo de Minnesota</w:t>
      </w:r>
      <w:r>
        <w:rPr>
          <w:color w:val="1F1F1F"/>
        </w:rPr>
        <w:t xml:space="preserve"> (Revisión de 2016 de las Naciones Unidas sobre la Investigación de Muertes Potencialmente Ilícitas). Este protocolo, que sirve de guía imperativa para la Corte IDH, el Sistema Interamericano y los Estados parte, establece lineamientos técnicos y jurídicos sumamente rigurosos para la preservación inalterada de las pruebas.</w:t>
      </w:r>
      <w:r>
        <w:rPr>
          <w:color w:val="444746"/>
          <w:sz w:val="24"/>
          <w:szCs w:val="24"/>
          <w:vertAlign w:val="superscript"/>
        </w:rPr>
        <w:t>75</w:t>
      </w:r>
      <w:r>
        <w:rPr>
          <w:color w:val="1F1F1F"/>
        </w:rPr>
        <w:t xml:space="preserve"> Sus directrices contemporáneas extienden estas obligaciones a la gestión de pruebas digitales (fotografías digitales de fosas, metadatos de archivos policiales, videos testimoniales y bases de datos), exigiendo que la recolección garantice la privacidad de las víctimas pero mantenga la trazabilidad absoluta para fines de rendición de cuentas.</w:t>
      </w:r>
      <w:r>
        <w:rPr>
          <w:color w:val="444746"/>
          <w:sz w:val="24"/>
          <w:szCs w:val="24"/>
          <w:vertAlign w:val="superscript"/>
        </w:rPr>
        <w:t>75</w:t>
      </w:r>
    </w:p>
    <w:p w14:paraId="5C9F1AA2"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De manera complementaria, el recientemente desarrollado </w:t>
      </w:r>
      <w:r>
        <w:rPr>
          <w:b/>
          <w:bCs/>
          <w:color w:val="1F1F1F"/>
        </w:rPr>
        <w:t>Protocolo de la Esperanza</w:t>
      </w:r>
      <w:r>
        <w:rPr>
          <w:color w:val="1F1F1F"/>
        </w:rPr>
        <w:t>, diseñado para la investigación de amenazas contra personas defensoras de derechos humanos (como las propias madres de MAFAPO que han enfrentado intimidaciones por su labor), insiste en que la recolección de evidencia digital en entornos hostiles debe garantizar salvaguardas de legalidad, necesidad y proporcionalidad. Reconoce explícitamente el valor probatorio de extracciones de fuentes abiertas, capturas de pantalla y rastros digitales en redes sociales, siempre que se preserve su integridad contextual.</w:t>
      </w:r>
      <w:r>
        <w:rPr>
          <w:color w:val="444746"/>
          <w:sz w:val="24"/>
          <w:szCs w:val="24"/>
          <w:vertAlign w:val="superscript"/>
        </w:rPr>
        <w:t>78</w:t>
      </w:r>
    </w:p>
    <w:p w14:paraId="5ECDB0F6" w14:textId="77777777" w:rsidR="003C337A" w:rsidRDefault="003C337A">
      <w:pPr>
        <w:pBdr>
          <w:top w:val="nil"/>
          <w:left w:val="nil"/>
          <w:bottom w:val="nil"/>
          <w:right w:val="nil"/>
          <w:between w:val="nil"/>
        </w:pBdr>
        <w:spacing w:line="275" w:lineRule="auto"/>
        <w:rPr>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C337A" w14:paraId="78A2294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0AADBA" w14:textId="23C27801"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Fases de la </w:t>
            </w:r>
            <w:r w:rsidR="00BE313B">
              <w:rPr>
                <w:b/>
                <w:bCs/>
                <w:color w:val="1F1F1F"/>
              </w:rPr>
              <w:t xml:space="preserve">cadena de custodia digital en </w:t>
            </w:r>
            <w:r w:rsidR="00BE313B">
              <w:rPr>
                <w:b/>
                <w:bCs/>
                <w:color w:val="1F1F1F"/>
              </w:rPr>
              <w:lastRenderedPageBreak/>
              <w:t>derechos humanos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782AC" w14:textId="07755E57" w:rsidR="003C337A" w:rsidRDefault="00000000">
            <w:pPr>
              <w:pBdr>
                <w:top w:val="nil"/>
                <w:left w:val="nil"/>
                <w:bottom w:val="nil"/>
                <w:right w:val="nil"/>
                <w:between w:val="nil"/>
              </w:pBdr>
              <w:spacing w:before="120" w:after="120" w:line="275" w:lineRule="auto"/>
              <w:rPr>
                <w:b/>
                <w:bCs/>
                <w:color w:val="1F1F1F"/>
              </w:rPr>
            </w:pPr>
            <w:r>
              <w:rPr>
                <w:b/>
                <w:bCs/>
                <w:color w:val="1F1F1F"/>
              </w:rPr>
              <w:lastRenderedPageBreak/>
              <w:t xml:space="preserve">Acción </w:t>
            </w:r>
            <w:r w:rsidR="00BE313B">
              <w:rPr>
                <w:b/>
                <w:bCs/>
                <w:color w:val="1F1F1F"/>
              </w:rPr>
              <w:t xml:space="preserve">técnica y </w:t>
            </w:r>
            <w:r w:rsidR="00BE313B">
              <w:rPr>
                <w:b/>
                <w:bCs/>
                <w:color w:val="1F1F1F"/>
              </w:rPr>
              <w:lastRenderedPageBreak/>
              <w:t>procedimental requerida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1CF2FA" w14:textId="673882FE" w:rsidR="003C337A" w:rsidRDefault="00000000">
            <w:pPr>
              <w:pBdr>
                <w:top w:val="nil"/>
                <w:left w:val="nil"/>
                <w:bottom w:val="nil"/>
                <w:right w:val="nil"/>
                <w:between w:val="nil"/>
              </w:pBdr>
              <w:spacing w:before="120" w:after="120" w:line="275" w:lineRule="auto"/>
              <w:rPr>
                <w:b/>
                <w:bCs/>
                <w:color w:val="1F1F1F"/>
              </w:rPr>
            </w:pPr>
            <w:r>
              <w:rPr>
                <w:b/>
                <w:bCs/>
                <w:color w:val="1F1F1F"/>
              </w:rPr>
              <w:lastRenderedPageBreak/>
              <w:t xml:space="preserve">Impacto </w:t>
            </w:r>
            <w:r w:rsidR="00BE313B">
              <w:rPr>
                <w:b/>
                <w:bCs/>
                <w:color w:val="1F1F1F"/>
              </w:rPr>
              <w:t xml:space="preserve">probatorio en </w:t>
            </w:r>
            <w:r w:rsidR="00BE313B">
              <w:rPr>
                <w:b/>
                <w:bCs/>
                <w:color w:val="1F1F1F"/>
              </w:rPr>
              <w:lastRenderedPageBreak/>
              <w:t>tribunales internacionales</w:t>
            </w:r>
          </w:p>
        </w:tc>
      </w:tr>
      <w:tr w:rsidR="003C337A" w14:paraId="3EC9E5A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65513" w14:textId="4DA6F291" w:rsidR="003C337A" w:rsidRDefault="00000000">
            <w:pPr>
              <w:pBdr>
                <w:top w:val="nil"/>
                <w:left w:val="nil"/>
                <w:bottom w:val="nil"/>
                <w:right w:val="nil"/>
                <w:between w:val="nil"/>
              </w:pBdr>
              <w:spacing w:before="120" w:after="120" w:line="275" w:lineRule="auto"/>
              <w:rPr>
                <w:b/>
                <w:bCs/>
                <w:color w:val="1F1F1F"/>
              </w:rPr>
            </w:pPr>
            <w:r>
              <w:rPr>
                <w:b/>
                <w:bCs/>
                <w:color w:val="1F1F1F"/>
              </w:rPr>
              <w:lastRenderedPageBreak/>
              <w:t xml:space="preserve">Identificación y </w:t>
            </w:r>
            <w:r w:rsidR="00BE313B">
              <w:rPr>
                <w:b/>
                <w:bCs/>
                <w:color w:val="1F1F1F"/>
              </w:rPr>
              <w:t>r</w:t>
            </w:r>
            <w:r>
              <w:rPr>
                <w:b/>
                <w:bCs/>
                <w:color w:val="1F1F1F"/>
              </w:rPr>
              <w:t>ecolección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CA6A14" w14:textId="77777777" w:rsidR="003C337A" w:rsidRDefault="00000000">
            <w:pPr>
              <w:pBdr>
                <w:top w:val="nil"/>
                <w:left w:val="nil"/>
                <w:bottom w:val="nil"/>
                <w:right w:val="nil"/>
                <w:between w:val="nil"/>
              </w:pBdr>
              <w:spacing w:before="120" w:after="120" w:line="275" w:lineRule="auto"/>
              <w:rPr>
                <w:color w:val="1F1F1F"/>
              </w:rPr>
            </w:pPr>
            <w:r>
              <w:rPr>
                <w:color w:val="1F1F1F"/>
              </w:rPr>
              <w:t xml:space="preserve">Extracción forense de datos, testimonios o archivos multimedia. Generación inmediata de valores </w:t>
            </w:r>
            <w:r>
              <w:rPr>
                <w:i/>
                <w:iCs/>
                <w:color w:val="1F1F1F"/>
              </w:rPr>
              <w:t>hash</w:t>
            </w:r>
            <w:r>
              <w:rPr>
                <w:color w:val="1F1F1F"/>
              </w:rPr>
              <w:t xml:space="preserve"> criptográficos.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54799A"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Garantiza la autenticidad del documento en su estado original, previniendo alegaciones de alteración posterior por la defensa del Estado.</w:t>
            </w:r>
            <w:r>
              <w:rPr>
                <w:color w:val="444746"/>
                <w:sz w:val="24"/>
                <w:szCs w:val="24"/>
                <w:vertAlign w:val="superscript"/>
              </w:rPr>
              <w:t>80</w:t>
            </w:r>
          </w:p>
        </w:tc>
      </w:tr>
      <w:tr w:rsidR="003C337A" w14:paraId="2EE54BD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B45C6" w14:textId="613DCA6A"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Preservación y </w:t>
            </w:r>
            <w:r w:rsidR="00BE313B">
              <w:rPr>
                <w:b/>
                <w:bCs/>
                <w:color w:val="1F1F1F"/>
              </w:rPr>
              <w:t>a</w:t>
            </w:r>
            <w:r>
              <w:rPr>
                <w:b/>
                <w:bCs/>
                <w:color w:val="1F1F1F"/>
              </w:rPr>
              <w:t>lmacenamiento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0B989"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Guardado en repositorios seguros, redundantes y geográficamente distribuidos, empleando metadatos de preservación y codificación estándar.</w:t>
            </w:r>
            <w:r>
              <w:rPr>
                <w:color w:val="444746"/>
                <w:sz w:val="24"/>
                <w:szCs w:val="24"/>
                <w:vertAlign w:val="superscript"/>
              </w:rPr>
              <w:t>49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A993C"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Previene la degradación tecnológica ("bit rot") y el sabotaje cibernético, asegurando la disponibilidad de la prueba a largo plazo.</w:t>
            </w:r>
            <w:r>
              <w:rPr>
                <w:color w:val="444746"/>
                <w:sz w:val="24"/>
                <w:szCs w:val="24"/>
                <w:vertAlign w:val="superscript"/>
              </w:rPr>
              <w:t>82</w:t>
            </w:r>
          </w:p>
        </w:tc>
      </w:tr>
      <w:tr w:rsidR="003C337A" w14:paraId="0F07192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9A7388" w14:textId="683A356E"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Análisis y </w:t>
            </w:r>
            <w:r w:rsidR="00BE313B">
              <w:rPr>
                <w:b/>
                <w:bCs/>
                <w:color w:val="1F1F1F"/>
              </w:rPr>
              <w:t>p</w:t>
            </w:r>
            <w:r>
              <w:rPr>
                <w:b/>
                <w:bCs/>
                <w:color w:val="1F1F1F"/>
              </w:rPr>
              <w:t>rocesamiento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F03BF"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Uso de entornos aislados para consultar la base de datos (grafos, enlaces) sin alterar los metadatos de los archivos originales.</w:t>
            </w:r>
            <w:r>
              <w:rPr>
                <w:color w:val="444746"/>
                <w:sz w:val="24"/>
                <w:szCs w:val="24"/>
                <w:vertAlign w:val="superscript"/>
              </w:rPr>
              <w:t>53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F79FA"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 xml:space="preserve">Permite la extracción de patrones indiciarios (ej. </w:t>
            </w:r>
            <w:r>
              <w:rPr>
                <w:i/>
                <w:iCs/>
                <w:color w:val="1F1F1F"/>
              </w:rPr>
              <w:t>modus operandi</w:t>
            </w:r>
            <w:r>
              <w:rPr>
                <w:color w:val="1F1F1F"/>
              </w:rPr>
              <w:t>) sin invalidar la fuente probatoria original frente a la sana crítica del juez.</w:t>
            </w:r>
            <w:r>
              <w:rPr>
                <w:color w:val="444746"/>
                <w:sz w:val="24"/>
                <w:szCs w:val="24"/>
                <w:vertAlign w:val="superscript"/>
              </w:rPr>
              <w:t>34</w:t>
            </w:r>
          </w:p>
        </w:tc>
      </w:tr>
      <w:tr w:rsidR="003C337A" w14:paraId="52B7737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CC2E3" w14:textId="2C98E1DE" w:rsidR="003C337A" w:rsidRDefault="00000000">
            <w:pPr>
              <w:pBdr>
                <w:top w:val="nil"/>
                <w:left w:val="nil"/>
                <w:bottom w:val="nil"/>
                <w:right w:val="nil"/>
                <w:between w:val="nil"/>
              </w:pBdr>
              <w:spacing w:before="120" w:after="120" w:line="275" w:lineRule="auto"/>
              <w:rPr>
                <w:b/>
                <w:bCs/>
                <w:color w:val="1F1F1F"/>
              </w:rPr>
            </w:pPr>
            <w:r>
              <w:rPr>
                <w:b/>
                <w:bCs/>
                <w:color w:val="1F1F1F"/>
              </w:rPr>
              <w:t xml:space="preserve">Presentación y </w:t>
            </w:r>
            <w:r w:rsidR="00BE313B">
              <w:rPr>
                <w:b/>
                <w:bCs/>
                <w:color w:val="1F1F1F"/>
              </w:rPr>
              <w:t>v</w:t>
            </w:r>
            <w:r>
              <w:rPr>
                <w:b/>
                <w:bCs/>
                <w:color w:val="1F1F1F"/>
              </w:rPr>
              <w:t>aloración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D5082"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Exhibición ante el tribunal (ej. JEP o Corte IDH) documentando ininterrumpidamente quién, cuándo y cómo se accedió al archivo desde su recolección.</w:t>
            </w:r>
            <w:r>
              <w:rPr>
                <w:color w:val="444746"/>
                <w:sz w:val="24"/>
                <w:szCs w:val="24"/>
                <w:vertAlign w:val="superscript"/>
              </w:rPr>
              <w:t>73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F68774" w14:textId="77777777" w:rsidR="003C337A" w:rsidRDefault="00000000">
            <w:pPr>
              <w:pBdr>
                <w:top w:val="nil"/>
                <w:left w:val="nil"/>
                <w:bottom w:val="nil"/>
                <w:right w:val="nil"/>
                <w:between w:val="nil"/>
              </w:pBdr>
              <w:spacing w:line="275" w:lineRule="auto"/>
              <w:rPr>
                <w:color w:val="444746"/>
                <w:sz w:val="24"/>
                <w:szCs w:val="24"/>
                <w:vertAlign w:val="superscript"/>
              </w:rPr>
            </w:pPr>
            <w:r>
              <w:rPr>
                <w:color w:val="1F1F1F"/>
              </w:rPr>
              <w:t>Cumple con el estándar de admisión probatoria del SIDH, permitiendo que la base de datos de la ONG sea valorada plenamente y sin tachas procedimentales.</w:t>
            </w:r>
            <w:r>
              <w:rPr>
                <w:color w:val="444746"/>
                <w:sz w:val="24"/>
                <w:szCs w:val="24"/>
                <w:vertAlign w:val="superscript"/>
              </w:rPr>
              <w:t>40</w:t>
            </w:r>
          </w:p>
        </w:tc>
      </w:tr>
    </w:tbl>
    <w:p w14:paraId="62D6501C" w14:textId="77777777" w:rsidR="003C337A" w:rsidRDefault="00000000">
      <w:pPr>
        <w:pBdr>
          <w:top w:val="nil"/>
          <w:left w:val="nil"/>
          <w:bottom w:val="nil"/>
          <w:right w:val="nil"/>
          <w:between w:val="nil"/>
        </w:pBdr>
        <w:spacing w:after="150" w:line="275" w:lineRule="auto"/>
        <w:rPr>
          <w:color w:val="444746"/>
          <w:sz w:val="24"/>
          <w:szCs w:val="24"/>
          <w:vertAlign w:val="superscript"/>
        </w:rPr>
      </w:pPr>
      <w:r>
        <w:rPr>
          <w:color w:val="1F1F1F"/>
        </w:rPr>
        <w:t>Una infraestructura digital verdaderamente orientada a la justicia (</w:t>
      </w:r>
      <w:r>
        <w:rPr>
          <w:i/>
          <w:iCs/>
          <w:color w:val="1F1F1F"/>
        </w:rPr>
        <w:t>justice-ready Digital Public Infrastructure</w:t>
      </w:r>
      <w:r>
        <w:rPr>
          <w:color w:val="1F1F1F"/>
        </w:rPr>
        <w:t>) debe anclarse estructuralmente en la inmutabilidad criptográfica. Esto asegura que los archivos documentales y testimoniales sean a prueba de manipulaciones (</w:t>
      </w:r>
      <w:r>
        <w:rPr>
          <w:i/>
          <w:iCs/>
          <w:color w:val="1F1F1F"/>
        </w:rPr>
        <w:t>tamper-evident</w:t>
      </w:r>
      <w:r>
        <w:rPr>
          <w:color w:val="1F1F1F"/>
        </w:rPr>
        <w:t xml:space="preserve">). El uso de tecnologías de sellado de tiempo distribuidas o basadas en </w:t>
      </w:r>
      <w:r>
        <w:rPr>
          <w:i/>
          <w:iCs/>
          <w:color w:val="1F1F1F"/>
        </w:rPr>
        <w:t>blockchain</w:t>
      </w:r>
      <w:r>
        <w:rPr>
          <w:color w:val="1F1F1F"/>
        </w:rPr>
        <w:t xml:space="preserve"> en el diseño de estas bases de datos protege el acervo probatorio no solo de modificaciones malintencionadas inmediatas, sino también de maquinaciones revisionistas a largo plazo orquestadas por actores estatales que busquen alterar la narrativa histórica del conflicto.</w:t>
      </w:r>
      <w:r>
        <w:rPr>
          <w:color w:val="444746"/>
          <w:sz w:val="24"/>
          <w:szCs w:val="24"/>
          <w:vertAlign w:val="superscript"/>
        </w:rPr>
        <w:t>7</w:t>
      </w:r>
      <w:r>
        <w:rPr>
          <w:color w:val="1F1F1F"/>
        </w:rPr>
        <w:t xml:space="preserve"> La adecuada implementación de esta cadena de custodia previene el "exceso ritual manifiesto" en los tribunales —donde los jueces rechazan pruebas por fallas formales menores— garantizando así el acceso efectivo a la justicia material y la protección de los derechos sustanciales de las víctimas de la macrocriminalidad.</w:t>
      </w:r>
      <w:r>
        <w:rPr>
          <w:color w:val="444746"/>
          <w:sz w:val="24"/>
          <w:szCs w:val="24"/>
          <w:vertAlign w:val="superscript"/>
        </w:rPr>
        <w:t>35</w:t>
      </w:r>
    </w:p>
    <w:p w14:paraId="52CC29DF" w14:textId="77777777" w:rsidR="003C337A" w:rsidRDefault="00000000">
      <w:pPr>
        <w:pStyle w:val="Ttulo2"/>
        <w:spacing w:before="0" w:after="120" w:line="275" w:lineRule="auto"/>
        <w:rPr>
          <w:color w:val="1F1F1F"/>
        </w:rPr>
      </w:pPr>
      <w:r>
        <w:rPr>
          <w:color w:val="1F1F1F"/>
        </w:rPr>
        <w:t>Conclusiones</w:t>
      </w:r>
    </w:p>
    <w:p w14:paraId="7D6F38D5" w14:textId="77777777" w:rsidR="003C337A" w:rsidRDefault="00000000">
      <w:pPr>
        <w:pBdr>
          <w:top w:val="nil"/>
          <w:left w:val="nil"/>
          <w:bottom w:val="nil"/>
          <w:right w:val="nil"/>
          <w:between w:val="nil"/>
        </w:pBdr>
        <w:spacing w:after="150" w:line="275" w:lineRule="auto"/>
        <w:rPr>
          <w:color w:val="1F1F1F"/>
        </w:rPr>
      </w:pPr>
      <w:r>
        <w:rPr>
          <w:color w:val="1F1F1F"/>
        </w:rPr>
        <w:lastRenderedPageBreak/>
        <w:t>La conceptualización, diseño y puesta en marcha de una base de datos de memoria de la verdad, fundamentada empíricamente en el valioso y doloroso acervo de la organización MAFAPO y estructurada jurídicamente bajo los exigentes estándares probatorios de la Corte Interamericana de Derechos Humanos, constituye una empresa tecnológica, procedimental y ética de vanguardia. El análisis exhaustivo del estado del arte demuestra inequívocamente que la tradicional recopilación documental y testimonial en el ámbito de los derechos humanos ha sido superada y absorbida por enfoques holísticos propios de la ciencia de datos avanzada.</w:t>
      </w:r>
    </w:p>
    <w:p w14:paraId="2EE44801" w14:textId="77777777" w:rsidR="003C337A" w:rsidRDefault="00000000">
      <w:pPr>
        <w:pBdr>
          <w:top w:val="nil"/>
          <w:left w:val="nil"/>
          <w:bottom w:val="nil"/>
          <w:right w:val="nil"/>
          <w:between w:val="nil"/>
        </w:pBdr>
        <w:spacing w:after="150" w:line="275" w:lineRule="auto"/>
        <w:rPr>
          <w:color w:val="1F1F1F"/>
        </w:rPr>
      </w:pPr>
      <w:r>
        <w:rPr>
          <w:color w:val="1F1F1F"/>
        </w:rPr>
        <w:t>En este nuevo paradigma, la integración de ontologías computacionales, bases de datos orientadas a grafos, técnicas estadísticas de estimación de sistemas múltiples y enlace probabilístico de registros —metodologías impulsadas globalmente por instituciones como HURIDOCS y HRDAG— logran transformar la narrativa fragmentada del dolor, el litigio estético y la resistencia social en evidencia algorítmica irrefutable de macrocriminalidad sistémica. Estas arquitecturas tecnológicas no operan en un vacío legal, sino que encuentran su catalizador y legitimidad en la evolución dogmática del Sistema Interamericano.</w:t>
      </w:r>
    </w:p>
    <w:p w14:paraId="06AB1553" w14:textId="77777777" w:rsidR="003C337A" w:rsidRDefault="00000000">
      <w:pPr>
        <w:pBdr>
          <w:top w:val="nil"/>
          <w:left w:val="nil"/>
          <w:bottom w:val="nil"/>
          <w:right w:val="nil"/>
          <w:between w:val="nil"/>
        </w:pBdr>
        <w:spacing w:after="150" w:line="275" w:lineRule="auto"/>
        <w:rPr>
          <w:color w:val="1F1F1F"/>
        </w:rPr>
      </w:pPr>
      <w:r>
        <w:rPr>
          <w:color w:val="1F1F1F"/>
        </w:rPr>
        <w:t>La jurisprudencia de la Corte IDH proporciona el marco habilitante y garantista esencial: al cimentar la flexibilización de los estándares probatorios, aceptar la plena validez de la prueba indiciaria y circunstancial, ordenar la inversión de la carga de la prueba frente a crímenes amparados por el aparato estatal, y consolidar el Derecho a la Verdad como una obligación afirmativa, el tribunal interamericano eleva los archivos y las bases de datos creadas por organizaciones de víctimas y ONG al nivel de material probatorio decisivo.</w:t>
      </w:r>
    </w:p>
    <w:p w14:paraId="6C5DC526" w14:textId="77777777" w:rsidR="003C337A" w:rsidRDefault="00000000">
      <w:pPr>
        <w:pBdr>
          <w:top w:val="nil"/>
          <w:left w:val="nil"/>
          <w:bottom w:val="nil"/>
          <w:right w:val="nil"/>
          <w:between w:val="nil"/>
        </w:pBdr>
        <w:spacing w:after="255" w:line="275" w:lineRule="auto"/>
        <w:rPr>
          <w:color w:val="1F1F1F"/>
        </w:rPr>
      </w:pPr>
      <w:r>
        <w:rPr>
          <w:color w:val="1F1F1F"/>
        </w:rPr>
        <w:t xml:space="preserve">Para que la base de datos de MAFAPO alcance su máximo potencial en la Jurisdicción Especial para la Paz y en instancias internacionales, su diseño debe adoptar esquemas de metadatos estandarizados (como </w:t>
      </w:r>
      <w:r>
        <w:rPr>
          <w:i/>
          <w:iCs/>
          <w:color w:val="1F1F1F"/>
        </w:rPr>
        <w:t>Events Standard Formats</w:t>
      </w:r>
      <w:r>
        <w:rPr>
          <w:color w:val="1F1F1F"/>
        </w:rPr>
        <w:t>), incorporar controles criptográficos estrictos para certificar la cadena de custodia digital continua de la evidencia (en cumplimiento del Protocolo de Minnesota), y asegurar la interoperabilidad con repositorios oficiales de memoria histórica. De este modo, la base de datos resultante no actuará únicamente como un repositorio retrospectivo de tragedias pasadas o un mausoleo digital, sino como un dispositivo jurídico activo y punzante, capaz de desmantelar la impunidad en tiempo presente y salvaguardar la memoria histórica como garantía inquebrantable de no repetición para las generaciones futuras.</w:t>
      </w:r>
    </w:p>
    <w:p w14:paraId="64614541" w14:textId="3540A8F4" w:rsidR="003C337A" w:rsidRDefault="00D66EE3">
      <w:pPr>
        <w:pStyle w:val="Ttulo4"/>
        <w:spacing w:before="0"/>
      </w:pPr>
      <w:r>
        <w:t>Referencias</w:t>
      </w:r>
    </w:p>
    <w:p w14:paraId="02AAB199" w14:textId="77777777" w:rsidR="003C337A" w:rsidRDefault="00000000">
      <w:pPr>
        <w:numPr>
          <w:ilvl w:val="0"/>
          <w:numId w:val="2"/>
        </w:numPr>
        <w:pBdr>
          <w:top w:val="nil"/>
          <w:left w:val="nil"/>
          <w:bottom w:val="nil"/>
          <w:right w:val="nil"/>
          <w:between w:val="nil"/>
        </w:pBdr>
      </w:pPr>
      <w:r>
        <w:rPr>
          <w:sz w:val="24"/>
          <w:szCs w:val="24"/>
        </w:rPr>
        <w:t xml:space="preserve">El poder del arte y la cultura en la lucha por los derechos humanos. Análisis de caso: Madres de los Falsos Positivos de Soacha y Bogotá (Mafapo) - SciELO Colombia, fecha de acceso: marzo 25, 2026, </w:t>
      </w:r>
      <w:hyperlink r:id="rId5">
        <w:r>
          <w:rPr>
            <w:color w:val="0000EE"/>
            <w:sz w:val="24"/>
            <w:szCs w:val="24"/>
            <w:u w:val="single"/>
          </w:rPr>
          <w:t>http://www.scielo.org.co/scielo.php?script=sci_arttext&amp;pid=S1692-25302025000204824</w:t>
        </w:r>
      </w:hyperlink>
    </w:p>
    <w:p w14:paraId="696BEC08" w14:textId="77777777" w:rsidR="003C337A" w:rsidRDefault="00000000">
      <w:pPr>
        <w:numPr>
          <w:ilvl w:val="0"/>
          <w:numId w:val="2"/>
        </w:numPr>
        <w:pBdr>
          <w:top w:val="nil"/>
          <w:left w:val="nil"/>
          <w:bottom w:val="nil"/>
          <w:right w:val="nil"/>
          <w:between w:val="nil"/>
        </w:pBdr>
      </w:pPr>
      <w:r>
        <w:rPr>
          <w:sz w:val="24"/>
          <w:szCs w:val="24"/>
        </w:rPr>
        <w:t xml:space="preserve">Los «falsos positivos» más allá de un asunto judicial, ¿una política de Estado? - Dialnet, fecha de acceso: marzo 25, 2026, </w:t>
      </w:r>
      <w:hyperlink r:id="rId6">
        <w:r>
          <w:rPr>
            <w:color w:val="0000EE"/>
            <w:sz w:val="24"/>
            <w:szCs w:val="24"/>
            <w:u w:val="single"/>
          </w:rPr>
          <w:t>https://dialnet.unirioja.es/descarga/articulo/9651638.pdf</w:t>
        </w:r>
      </w:hyperlink>
    </w:p>
    <w:p w14:paraId="6C4AEA9D" w14:textId="77777777" w:rsidR="003C337A" w:rsidRDefault="00000000">
      <w:pPr>
        <w:numPr>
          <w:ilvl w:val="0"/>
          <w:numId w:val="2"/>
        </w:numPr>
        <w:pBdr>
          <w:top w:val="nil"/>
          <w:left w:val="nil"/>
          <w:bottom w:val="nil"/>
          <w:right w:val="nil"/>
          <w:between w:val="nil"/>
        </w:pBdr>
      </w:pPr>
      <w:r>
        <w:rPr>
          <w:sz w:val="24"/>
          <w:szCs w:val="24"/>
        </w:rPr>
        <w:t xml:space="preserve">La memoria, la historia y el derecho a la verdad en la Justicia Transicional en Colombia: una paradoja irresoluble en el conflicto armado colombiano, fecha de </w:t>
      </w:r>
      <w:r>
        <w:rPr>
          <w:sz w:val="24"/>
          <w:szCs w:val="24"/>
        </w:rPr>
        <w:lastRenderedPageBreak/>
        <w:t xml:space="preserve">acceso: marzo 25, 2026, </w:t>
      </w:r>
      <w:hyperlink r:id="rId7">
        <w:r>
          <w:rPr>
            <w:color w:val="0000EE"/>
            <w:sz w:val="24"/>
            <w:szCs w:val="24"/>
            <w:u w:val="single"/>
          </w:rPr>
          <w:t>https://revistas.uexternado.edu.co/index.php/derest/article/view/3605</w:t>
        </w:r>
      </w:hyperlink>
    </w:p>
    <w:p w14:paraId="1117759C" w14:textId="77777777" w:rsidR="003C337A" w:rsidRPr="00135172" w:rsidRDefault="00000000">
      <w:pPr>
        <w:numPr>
          <w:ilvl w:val="0"/>
          <w:numId w:val="2"/>
        </w:numPr>
        <w:pBdr>
          <w:top w:val="nil"/>
          <w:left w:val="nil"/>
          <w:bottom w:val="nil"/>
          <w:right w:val="nil"/>
          <w:between w:val="nil"/>
        </w:pBdr>
        <w:rPr>
          <w:lang w:val="en-US"/>
        </w:rPr>
      </w:pPr>
      <w:r w:rsidRPr="00135172">
        <w:rPr>
          <w:sz w:val="24"/>
          <w:szCs w:val="24"/>
          <w:lang w:val="en-US"/>
        </w:rPr>
        <w:t xml:space="preserve">Bearing Witness: The Art and Science of Human Rights Fact-Finding - Digital Commons @ American University Washington College of Law, fecha de acceso: marzo 25, 2026, </w:t>
      </w:r>
      <w:hyperlink r:id="rId8">
        <w:r w:rsidRPr="00135172">
          <w:rPr>
            <w:color w:val="0000EE"/>
            <w:sz w:val="24"/>
            <w:szCs w:val="24"/>
            <w:u w:val="single"/>
            <w:lang w:val="en-US"/>
          </w:rPr>
          <w:t>https://digitalcommons.wcl.american.edu/cgi/viewcontent.cgi?article=2721&amp;context=facsch_lawrev</w:t>
        </w:r>
      </w:hyperlink>
    </w:p>
    <w:p w14:paraId="4C079CCA" w14:textId="77777777" w:rsidR="003C337A" w:rsidRDefault="00000000">
      <w:pPr>
        <w:numPr>
          <w:ilvl w:val="0"/>
          <w:numId w:val="2"/>
        </w:numPr>
        <w:pBdr>
          <w:top w:val="nil"/>
          <w:left w:val="nil"/>
          <w:bottom w:val="nil"/>
          <w:right w:val="nil"/>
          <w:between w:val="nil"/>
        </w:pBdr>
      </w:pPr>
      <w:r>
        <w:rPr>
          <w:sz w:val="24"/>
          <w:szCs w:val="24"/>
        </w:rPr>
        <w:t xml:space="preserve">Archivo del conflicto armado interno en custodia del Centro Nacional de Memoria Histórica son reconocidos por la UNESCO como parte de la Memoria del Mundo, fecha de acceso: marzo 25, 2026, </w:t>
      </w:r>
      <w:hyperlink r:id="rId9">
        <w:r>
          <w:rPr>
            <w:color w:val="0000EE"/>
            <w:sz w:val="24"/>
            <w:szCs w:val="24"/>
            <w:u w:val="single"/>
          </w:rPr>
          <w:t>https://centrodememoriahistorica.gov.co/archivo-del-conflicto-armado-interno-en-custodia-del-cnmh-reconocidos-por-unesco/</w:t>
        </w:r>
      </w:hyperlink>
    </w:p>
    <w:p w14:paraId="5B16D749" w14:textId="77777777" w:rsidR="003C337A" w:rsidRDefault="00000000">
      <w:pPr>
        <w:numPr>
          <w:ilvl w:val="0"/>
          <w:numId w:val="2"/>
        </w:numPr>
        <w:pBdr>
          <w:top w:val="nil"/>
          <w:left w:val="nil"/>
          <w:bottom w:val="nil"/>
          <w:right w:val="nil"/>
          <w:between w:val="nil"/>
        </w:pBdr>
      </w:pPr>
      <w:r>
        <w:rPr>
          <w:sz w:val="24"/>
          <w:szCs w:val="24"/>
        </w:rPr>
        <w:t xml:space="preserve">Buscando a los desaparecidos de la “guerra sucia”: ontologías computacionales y la búsqueda de verdad - HTTP, fecha de acceso: marzo 25, 2026, </w:t>
      </w:r>
      <w:hyperlink r:id="rId10">
        <w:r>
          <w:rPr>
            <w:color w:val="0000EE"/>
            <w:sz w:val="24"/>
            <w:szCs w:val="24"/>
            <w:u w:val="single"/>
          </w:rPr>
          <w:t>https://iberoforum.ibero.mx/index.php/iberoforum/article/download/149/443/1387</w:t>
        </w:r>
      </w:hyperlink>
    </w:p>
    <w:p w14:paraId="164DE68F" w14:textId="77777777" w:rsidR="003C337A" w:rsidRPr="00135172" w:rsidRDefault="00000000">
      <w:pPr>
        <w:numPr>
          <w:ilvl w:val="0"/>
          <w:numId w:val="2"/>
        </w:numPr>
        <w:pBdr>
          <w:top w:val="nil"/>
          <w:left w:val="nil"/>
          <w:bottom w:val="nil"/>
          <w:right w:val="nil"/>
          <w:between w:val="nil"/>
        </w:pBdr>
        <w:rPr>
          <w:lang w:val="en-US"/>
        </w:rPr>
      </w:pPr>
      <w:r w:rsidRPr="00135172">
        <w:rPr>
          <w:sz w:val="24"/>
          <w:szCs w:val="24"/>
          <w:lang w:val="en-US"/>
        </w:rPr>
        <w:t xml:space="preserve">Justice-Ready Digital Public Infrastructure: Building a Third Layer of Trust for Democratic Resilience - The Global Governance Institute (GGI), fecha de acceso: marzo 25, 2026, </w:t>
      </w:r>
      <w:hyperlink r:id="rId11">
        <w:r w:rsidRPr="00135172">
          <w:rPr>
            <w:color w:val="0000EE"/>
            <w:sz w:val="24"/>
            <w:szCs w:val="24"/>
            <w:u w:val="single"/>
            <w:lang w:val="en-US"/>
          </w:rPr>
          <w:t>https://www.globalgovernance.eu/publications/justice-ready-digital-public-infrastructure-building-a-third-layer-of-trust-for-democratic-resilience</w:t>
        </w:r>
      </w:hyperlink>
    </w:p>
    <w:p w14:paraId="4592CA06" w14:textId="77777777" w:rsidR="003C337A" w:rsidRPr="00135172" w:rsidRDefault="00000000">
      <w:pPr>
        <w:numPr>
          <w:ilvl w:val="0"/>
          <w:numId w:val="2"/>
        </w:numPr>
        <w:pBdr>
          <w:top w:val="nil"/>
          <w:left w:val="nil"/>
          <w:bottom w:val="nil"/>
          <w:right w:val="nil"/>
          <w:between w:val="nil"/>
        </w:pBdr>
        <w:rPr>
          <w:lang w:val="en-US"/>
        </w:rPr>
      </w:pPr>
      <w:r w:rsidRPr="00135172">
        <w:rPr>
          <w:sz w:val="24"/>
          <w:szCs w:val="24"/>
          <w:lang w:val="en-US"/>
        </w:rPr>
        <w:t xml:space="preserve">Invisible Victims: Estimating Underreporting in the Armed Conflict - Quantil, fecha de acceso: marzo 25, 2026, </w:t>
      </w:r>
      <w:hyperlink r:id="rId12">
        <w:r w:rsidRPr="00135172">
          <w:rPr>
            <w:color w:val="0000EE"/>
            <w:sz w:val="24"/>
            <w:szCs w:val="24"/>
            <w:u w:val="single"/>
            <w:lang w:val="en-US"/>
          </w:rPr>
          <w:t>https://quantil.co/en/blog/victimas-invisibles-la-estimacion-del-subregistro-en-el-conflicto-armado/</w:t>
        </w:r>
      </w:hyperlink>
    </w:p>
    <w:p w14:paraId="2B5D2C5C" w14:textId="77777777" w:rsidR="003C337A" w:rsidRDefault="00000000">
      <w:pPr>
        <w:numPr>
          <w:ilvl w:val="0"/>
          <w:numId w:val="2"/>
        </w:numPr>
        <w:pBdr>
          <w:top w:val="nil"/>
          <w:left w:val="nil"/>
          <w:bottom w:val="nil"/>
          <w:right w:val="nil"/>
          <w:between w:val="nil"/>
        </w:pBdr>
      </w:pPr>
      <w:r>
        <w:rPr>
          <w:sz w:val="24"/>
          <w:szCs w:val="24"/>
        </w:rPr>
        <w:t xml:space="preserve">El rol de la memoria histórica en la búsqueda de la verdad como sustancia primordial de la Justicia Transicional: Desafíos epistemológicos y reflexiones ontológicas - Multiverso journal, fecha de acceso: marzo 25, 2026, </w:t>
      </w:r>
      <w:hyperlink r:id="rId13">
        <w:r>
          <w:rPr>
            <w:color w:val="0000EE"/>
            <w:sz w:val="24"/>
            <w:szCs w:val="24"/>
            <w:u w:val="single"/>
          </w:rPr>
          <w:t>https://multiversojournal.org/index.php/multiverso/article/view/73/269</w:t>
        </w:r>
      </w:hyperlink>
    </w:p>
    <w:p w14:paraId="307B99A4" w14:textId="77777777" w:rsidR="003C337A" w:rsidRDefault="00000000">
      <w:pPr>
        <w:numPr>
          <w:ilvl w:val="0"/>
          <w:numId w:val="2"/>
        </w:numPr>
        <w:pBdr>
          <w:top w:val="nil"/>
          <w:left w:val="nil"/>
          <w:bottom w:val="nil"/>
          <w:right w:val="nil"/>
          <w:between w:val="nil"/>
        </w:pBdr>
      </w:pPr>
      <w:r>
        <w:rPr>
          <w:sz w:val="24"/>
          <w:szCs w:val="24"/>
        </w:rPr>
        <w:t xml:space="preserve">memorias 3, fecha de acceso: marzo 25, 2026, </w:t>
      </w:r>
      <w:hyperlink r:id="rId14">
        <w:r>
          <w:rPr>
            <w:color w:val="0000EE"/>
            <w:sz w:val="24"/>
            <w:szCs w:val="24"/>
            <w:u w:val="single"/>
          </w:rPr>
          <w:t>https://www.ictj.org/sites/default/files/ICTJ-Colombia-Unofficial-memory-initiatives-July2009-Spanish.pdf</w:t>
        </w:r>
      </w:hyperlink>
    </w:p>
    <w:p w14:paraId="10C208B7" w14:textId="77777777" w:rsidR="003C337A" w:rsidRDefault="00000000">
      <w:pPr>
        <w:numPr>
          <w:ilvl w:val="0"/>
          <w:numId w:val="2"/>
        </w:numPr>
        <w:pBdr>
          <w:top w:val="nil"/>
          <w:left w:val="nil"/>
          <w:bottom w:val="nil"/>
          <w:right w:val="nil"/>
          <w:between w:val="nil"/>
        </w:pBdr>
      </w:pPr>
      <w:r>
        <w:rPr>
          <w:sz w:val="24"/>
          <w:szCs w:val="24"/>
        </w:rPr>
        <w:t xml:space="preserve">Función del testimonio y lugar de la verdad: el caso de los “falsos positivos en Colombia” - Repositorio UNAL, fecha de acceso: marzo 25, 2026, </w:t>
      </w:r>
      <w:hyperlink r:id="rId15">
        <w:r>
          <w:rPr>
            <w:color w:val="0000EE"/>
            <w:sz w:val="24"/>
            <w:szCs w:val="24"/>
            <w:u w:val="single"/>
          </w:rPr>
          <w:t>https://repositorio.unal.edu.co/bitstreams/15cf0521-1302-4d52-a5d9-1c6bc4a71d97/download</w:t>
        </w:r>
      </w:hyperlink>
    </w:p>
    <w:p w14:paraId="7ED509AD" w14:textId="77777777" w:rsidR="003C337A" w:rsidRPr="00135172" w:rsidRDefault="00000000">
      <w:pPr>
        <w:numPr>
          <w:ilvl w:val="0"/>
          <w:numId w:val="2"/>
        </w:numPr>
        <w:pBdr>
          <w:top w:val="nil"/>
          <w:left w:val="nil"/>
          <w:bottom w:val="nil"/>
          <w:right w:val="nil"/>
          <w:between w:val="nil"/>
        </w:pBdr>
        <w:rPr>
          <w:lang w:val="en-US"/>
        </w:rPr>
      </w:pPr>
      <w:r w:rsidRPr="00135172">
        <w:rPr>
          <w:sz w:val="24"/>
          <w:szCs w:val="24"/>
          <w:lang w:val="en-US"/>
        </w:rPr>
        <w:t xml:space="preserve">Critical Reflection on the Right to the Truth about Gross Human Rights Violations - Oxford Academic, fecha de acceso: marzo 25, 2026, </w:t>
      </w:r>
      <w:hyperlink r:id="rId16">
        <w:r w:rsidRPr="00135172">
          <w:rPr>
            <w:color w:val="0000EE"/>
            <w:sz w:val="24"/>
            <w:szCs w:val="24"/>
            <w:u w:val="single"/>
            <w:lang w:val="en-US"/>
          </w:rPr>
          <w:t>https://academic.oup.com/hrlr/article/21/4/874/6327498</w:t>
        </w:r>
      </w:hyperlink>
    </w:p>
    <w:p w14:paraId="4DE130B3" w14:textId="77777777" w:rsidR="003C337A" w:rsidRPr="00135172" w:rsidRDefault="00000000">
      <w:pPr>
        <w:numPr>
          <w:ilvl w:val="0"/>
          <w:numId w:val="2"/>
        </w:numPr>
        <w:pBdr>
          <w:top w:val="nil"/>
          <w:left w:val="nil"/>
          <w:bottom w:val="nil"/>
          <w:right w:val="nil"/>
          <w:between w:val="nil"/>
        </w:pBdr>
        <w:rPr>
          <w:lang w:val="en-US"/>
        </w:rPr>
      </w:pPr>
      <w:r w:rsidRPr="00135172">
        <w:rPr>
          <w:sz w:val="24"/>
          <w:szCs w:val="24"/>
          <w:lang w:val="en-US"/>
        </w:rPr>
        <w:t xml:space="preserve">Compendium of the Inter-American Commission on Human Rights on Truth, Memory, Justice and Reparation in Transitional Contexts - OAS, fecha de acceso: marzo 25, 2026, </w:t>
      </w:r>
      <w:hyperlink r:id="rId17">
        <w:r w:rsidRPr="00135172">
          <w:rPr>
            <w:color w:val="0000EE"/>
            <w:sz w:val="24"/>
            <w:szCs w:val="24"/>
            <w:u w:val="single"/>
            <w:lang w:val="en-US"/>
          </w:rPr>
          <w:t>https://www.oas.org/en/iachr/reports/pdfs/compendiumtransitionaljustice.pdf</w:t>
        </w:r>
      </w:hyperlink>
    </w:p>
    <w:p w14:paraId="531630CC" w14:textId="77777777" w:rsidR="003C337A" w:rsidRDefault="00000000">
      <w:pPr>
        <w:numPr>
          <w:ilvl w:val="0"/>
          <w:numId w:val="2"/>
        </w:numPr>
        <w:pBdr>
          <w:top w:val="nil"/>
          <w:left w:val="nil"/>
          <w:bottom w:val="nil"/>
          <w:right w:val="nil"/>
          <w:between w:val="nil"/>
        </w:pBdr>
      </w:pPr>
      <w:r>
        <w:rPr>
          <w:sz w:val="24"/>
          <w:szCs w:val="24"/>
        </w:rPr>
        <w:t xml:space="preserve">Compendio de la Comisión Interamericana de Derechos Humanos sobre verdad, memoria, justicia y reparación en contextos transicionales - Organization of American States, fecha de acceso: marzo 25, 2026, </w:t>
      </w:r>
      <w:hyperlink r:id="rId18">
        <w:r>
          <w:rPr>
            <w:color w:val="0000EE"/>
            <w:sz w:val="24"/>
            <w:szCs w:val="24"/>
            <w:u w:val="single"/>
          </w:rPr>
          <w:t>https://www.oas.org/es/cidh/informes/pdfs/compendiojusticiatransicional-es.pdf</w:t>
        </w:r>
      </w:hyperlink>
    </w:p>
    <w:p w14:paraId="155ADFEC" w14:textId="77777777" w:rsidR="003C337A" w:rsidRDefault="00000000">
      <w:pPr>
        <w:numPr>
          <w:ilvl w:val="0"/>
          <w:numId w:val="2"/>
        </w:numPr>
        <w:pBdr>
          <w:top w:val="nil"/>
          <w:left w:val="nil"/>
          <w:bottom w:val="nil"/>
          <w:right w:val="nil"/>
          <w:between w:val="nil"/>
        </w:pBdr>
      </w:pPr>
      <w:r>
        <w:rPr>
          <w:sz w:val="24"/>
          <w:szCs w:val="24"/>
        </w:rPr>
        <w:t xml:space="preserve">(PDF) Arte, memoria y litigios. El caso de la exposición Mujeres con las botas bien puestas realizada por las Madres de Falsos Positivos de Soacha (MAFAPO) </w:t>
      </w:r>
      <w:r>
        <w:rPr>
          <w:sz w:val="24"/>
          <w:szCs w:val="24"/>
        </w:rPr>
        <w:lastRenderedPageBreak/>
        <w:t xml:space="preserve">- ResearchGate, fecha de acceso: marzo 25, 2026, </w:t>
      </w:r>
      <w:hyperlink r:id="rId19">
        <w:r>
          <w:rPr>
            <w:color w:val="0000EE"/>
            <w:sz w:val="24"/>
            <w:szCs w:val="24"/>
            <w:u w:val="single"/>
          </w:rPr>
          <w:t>https://www.researchgate.net/publication/397558590_Arte_memoria_y_litigios_El_caso_de_la_exposicion_Mujeres_con_las_botas_bien_puestas_realizada_por_las_Madres_de_Falsos_Positivos_de_Soacha_MAFAPO</w:t>
        </w:r>
      </w:hyperlink>
    </w:p>
    <w:p w14:paraId="5A4D2418" w14:textId="77777777" w:rsidR="003C337A" w:rsidRDefault="00000000">
      <w:pPr>
        <w:numPr>
          <w:ilvl w:val="0"/>
          <w:numId w:val="2"/>
        </w:numPr>
        <w:pBdr>
          <w:top w:val="nil"/>
          <w:left w:val="nil"/>
          <w:bottom w:val="nil"/>
          <w:right w:val="nil"/>
          <w:between w:val="nil"/>
        </w:pBdr>
      </w:pPr>
      <w:r>
        <w:rPr>
          <w:sz w:val="24"/>
          <w:szCs w:val="24"/>
        </w:rPr>
        <w:t xml:space="preserve">Noveno informe - de verificación de la implementación del Acuerdo Final de Paz en Colombia - Cinep, fecha de acceso: marzo 25, 2026, </w:t>
      </w:r>
      <w:hyperlink r:id="rId20">
        <w:r>
          <w:rPr>
            <w:color w:val="0000EE"/>
            <w:sz w:val="24"/>
            <w:szCs w:val="24"/>
            <w:u w:val="single"/>
          </w:rPr>
          <w:t>https://www.cinep.org.co/wp-content/uploads/2022/04/VF-Noveno-Informe-General-CINEP-CERAC.pdf</w:t>
        </w:r>
      </w:hyperlink>
    </w:p>
    <w:p w14:paraId="5C6E91DF" w14:textId="77777777" w:rsidR="003C337A" w:rsidRDefault="00000000">
      <w:pPr>
        <w:numPr>
          <w:ilvl w:val="0"/>
          <w:numId w:val="2"/>
        </w:numPr>
        <w:pBdr>
          <w:top w:val="nil"/>
          <w:left w:val="nil"/>
          <w:bottom w:val="nil"/>
          <w:right w:val="nil"/>
          <w:between w:val="nil"/>
        </w:pBdr>
      </w:pPr>
      <w:r>
        <w:rPr>
          <w:sz w:val="24"/>
          <w:szCs w:val="24"/>
        </w:rPr>
        <w:t xml:space="preserve">Disputas por la verdad y la justicia en el caso 03 de la Jurisdicción Especial por la Paz “Asesinatos y desapariciones forzad - Repositorio UNAL, fecha de acceso: marzo 25, 2026, </w:t>
      </w:r>
      <w:hyperlink r:id="rId21">
        <w:r>
          <w:rPr>
            <w:color w:val="0000EE"/>
            <w:sz w:val="24"/>
            <w:szCs w:val="24"/>
            <w:u w:val="single"/>
          </w:rPr>
          <w:t>https://repositorio.unal.edu.co/bitstreams/4c0f2ebb-a00c-4fd1-89a8-f4aea6aa30cf/download</w:t>
        </w:r>
      </w:hyperlink>
    </w:p>
    <w:p w14:paraId="18DEFA18" w14:textId="77777777" w:rsidR="003C337A" w:rsidRDefault="00000000">
      <w:pPr>
        <w:numPr>
          <w:ilvl w:val="0"/>
          <w:numId w:val="2"/>
        </w:numPr>
        <w:pBdr>
          <w:top w:val="nil"/>
          <w:left w:val="nil"/>
          <w:bottom w:val="nil"/>
          <w:right w:val="nil"/>
          <w:between w:val="nil"/>
        </w:pBdr>
      </w:pPr>
      <w:r>
        <w:rPr>
          <w:sz w:val="24"/>
          <w:szCs w:val="24"/>
        </w:rPr>
        <w:t xml:space="preserve">1 Para responder cite: 202103002027 REPÚBLICA DE COLOMBIA JURISDICCIÓN ESPECIAL PARA LA PAZ SALAS DE JUSTICIA SALA DE RECONOCI - Rutas del Conflicto, fecha de acceso: marzo 25, 2026, </w:t>
      </w:r>
      <w:hyperlink r:id="rId22">
        <w:r>
          <w:rPr>
            <w:color w:val="0000EE"/>
            <w:sz w:val="24"/>
            <w:szCs w:val="24"/>
            <w:u w:val="single"/>
          </w:rPr>
          <w:t>https://rutasdelconflicto.com/documentos/Oriente_Antioquia/Auto_SRVR-033_12-febrero-2021.pdf</w:t>
        </w:r>
      </w:hyperlink>
    </w:p>
    <w:p w14:paraId="3D2D3BA4" w14:textId="77777777" w:rsidR="003C337A" w:rsidRPr="00135172" w:rsidRDefault="00000000">
      <w:pPr>
        <w:numPr>
          <w:ilvl w:val="0"/>
          <w:numId w:val="2"/>
        </w:numPr>
        <w:pBdr>
          <w:top w:val="nil"/>
          <w:left w:val="nil"/>
          <w:bottom w:val="nil"/>
          <w:right w:val="nil"/>
          <w:between w:val="nil"/>
        </w:pBdr>
        <w:rPr>
          <w:lang w:val="en-US"/>
        </w:rPr>
      </w:pPr>
      <w:r w:rsidRPr="00135172">
        <w:rPr>
          <w:sz w:val="24"/>
          <w:szCs w:val="24"/>
          <w:lang w:val="en-US"/>
        </w:rPr>
        <w:t xml:space="preserve">Weaponizing Kinship: A Demographic Analysis of Bereavement in the Colombian Conflict - OSF, fecha de acceso: marzo 25, 2026, </w:t>
      </w:r>
      <w:hyperlink r:id="rId23">
        <w:r w:rsidRPr="00135172">
          <w:rPr>
            <w:color w:val="0000EE"/>
            <w:sz w:val="24"/>
            <w:szCs w:val="24"/>
            <w:u w:val="single"/>
            <w:lang w:val="en-US"/>
          </w:rPr>
          <w:t>https://osf.io/download/p87aw</w:t>
        </w:r>
      </w:hyperlink>
    </w:p>
    <w:p w14:paraId="0B55E304" w14:textId="77777777" w:rsidR="003C337A" w:rsidRPr="00135172" w:rsidRDefault="00000000">
      <w:pPr>
        <w:numPr>
          <w:ilvl w:val="0"/>
          <w:numId w:val="2"/>
        </w:numPr>
        <w:pBdr>
          <w:top w:val="nil"/>
          <w:left w:val="nil"/>
          <w:bottom w:val="nil"/>
          <w:right w:val="nil"/>
          <w:between w:val="nil"/>
        </w:pBdr>
        <w:rPr>
          <w:lang w:val="en-US"/>
        </w:rPr>
      </w:pPr>
      <w:r w:rsidRPr="00135172">
        <w:rPr>
          <w:sz w:val="24"/>
          <w:szCs w:val="24"/>
          <w:lang w:val="en-US"/>
        </w:rPr>
        <w:t xml:space="preserve">'Making the invisible visible' - Mothers of false positives (MAFAPO) - YouTube, fecha de acceso: marzo 25, 2026, </w:t>
      </w:r>
      <w:hyperlink r:id="rId24">
        <w:r w:rsidRPr="00135172">
          <w:rPr>
            <w:color w:val="0000EE"/>
            <w:sz w:val="24"/>
            <w:szCs w:val="24"/>
            <w:u w:val="single"/>
            <w:lang w:val="en-US"/>
          </w:rPr>
          <w:t>https://www.youtube.com/watch?v=tcSv38M9sBw</w:t>
        </w:r>
      </w:hyperlink>
    </w:p>
    <w:p w14:paraId="78F2BB29" w14:textId="77777777" w:rsidR="003C337A" w:rsidRDefault="00000000">
      <w:pPr>
        <w:numPr>
          <w:ilvl w:val="0"/>
          <w:numId w:val="2"/>
        </w:numPr>
        <w:pBdr>
          <w:top w:val="nil"/>
          <w:left w:val="nil"/>
          <w:bottom w:val="nil"/>
          <w:right w:val="nil"/>
          <w:between w:val="nil"/>
        </w:pBdr>
      </w:pPr>
      <w:r>
        <w:rPr>
          <w:sz w:val="24"/>
          <w:szCs w:val="24"/>
        </w:rPr>
        <w:t xml:space="preserve">UNIVERSIDAD AUTÓNOMA DE MADRID INSTITUTO UNIVERSITARIO DE ESTUDIOS DE LA MUJER Doctorado Interuniversitario en Estudios Interdi, fecha de acceso: marzo 25, 2026, </w:t>
      </w:r>
      <w:hyperlink r:id="rId25">
        <w:r>
          <w:rPr>
            <w:color w:val="0000EE"/>
            <w:sz w:val="24"/>
            <w:szCs w:val="24"/>
            <w:u w:val="single"/>
          </w:rPr>
          <w:t>https://repositorio.uam.es/bitstreams/38ea14f2-5b11-4dbf-99d9-9fb5eadd1f57/download</w:t>
        </w:r>
      </w:hyperlink>
    </w:p>
    <w:p w14:paraId="13030244" w14:textId="77777777" w:rsidR="003C337A" w:rsidRDefault="00000000">
      <w:pPr>
        <w:numPr>
          <w:ilvl w:val="0"/>
          <w:numId w:val="2"/>
        </w:numPr>
        <w:pBdr>
          <w:top w:val="nil"/>
          <w:left w:val="nil"/>
          <w:bottom w:val="nil"/>
          <w:right w:val="nil"/>
          <w:between w:val="nil"/>
        </w:pBdr>
      </w:pPr>
      <w:r>
        <w:rPr>
          <w:sz w:val="24"/>
          <w:szCs w:val="24"/>
        </w:rPr>
        <w:t xml:space="preserve">El poder del arte y la cultura en la lucha por los derechos humanos. Análisis de caso: Madres de los Falsos Positivos de Soacha - Dialnet, fecha de acceso: marzo 25, 2026, </w:t>
      </w:r>
      <w:hyperlink r:id="rId26">
        <w:r>
          <w:rPr>
            <w:color w:val="0000EE"/>
            <w:sz w:val="24"/>
            <w:szCs w:val="24"/>
            <w:u w:val="single"/>
          </w:rPr>
          <w:t>https://dialnet.unirioja.es/descarga/articulo/10351248.pdf</w:t>
        </w:r>
      </w:hyperlink>
    </w:p>
    <w:p w14:paraId="757AB39B" w14:textId="77777777" w:rsidR="003C337A" w:rsidRDefault="00000000">
      <w:pPr>
        <w:numPr>
          <w:ilvl w:val="0"/>
          <w:numId w:val="2"/>
        </w:numPr>
        <w:pBdr>
          <w:top w:val="nil"/>
          <w:left w:val="nil"/>
          <w:bottom w:val="nil"/>
          <w:right w:val="nil"/>
          <w:between w:val="nil"/>
        </w:pBdr>
      </w:pPr>
      <w:r>
        <w:rPr>
          <w:sz w:val="24"/>
          <w:szCs w:val="24"/>
        </w:rPr>
        <w:t xml:space="preserve">El arte se toma la palabra | La Red Cultural del Banco de la República - Banrepcultural.org, fecha de acceso: marzo 25, 2026, </w:t>
      </w:r>
      <w:hyperlink r:id="rId27">
        <w:r>
          <w:rPr>
            <w:color w:val="0000EE"/>
            <w:sz w:val="24"/>
            <w:szCs w:val="24"/>
            <w:u w:val="single"/>
          </w:rPr>
          <w:t>https://www.banrepcultural.org/noticias/el-arte-se-toma-la-palabra</w:t>
        </w:r>
      </w:hyperlink>
    </w:p>
    <w:p w14:paraId="7F493764" w14:textId="77777777" w:rsidR="003C337A" w:rsidRDefault="00000000">
      <w:pPr>
        <w:numPr>
          <w:ilvl w:val="0"/>
          <w:numId w:val="2"/>
        </w:numPr>
        <w:pBdr>
          <w:top w:val="nil"/>
          <w:left w:val="nil"/>
          <w:bottom w:val="nil"/>
          <w:right w:val="nil"/>
          <w:between w:val="nil"/>
        </w:pBdr>
      </w:pPr>
      <w:r>
        <w:rPr>
          <w:sz w:val="24"/>
          <w:szCs w:val="24"/>
        </w:rPr>
        <w:t xml:space="preserve">«Mujeres con las botas bien puestas»: las madres de Soacha quieren contarle al mundo su lucha contra la impunidad - Centro Nacional de Memoria Histórica, fecha de acceso: marzo 25, 2026, </w:t>
      </w:r>
      <w:hyperlink r:id="rId28">
        <w:r>
          <w:rPr>
            <w:color w:val="0000EE"/>
            <w:sz w:val="24"/>
            <w:szCs w:val="24"/>
            <w:u w:val="single"/>
          </w:rPr>
          <w:t>https://centrodememoriahistorica.gov.co/mujeres-con-las-botas-bien-puestas-las-madres-de-soacha-quieren-contarle-al-mundo-su-lucha-contra-la-impunidad/</w:t>
        </w:r>
      </w:hyperlink>
    </w:p>
    <w:p w14:paraId="36DF01B9" w14:textId="77777777" w:rsidR="003C337A" w:rsidRDefault="00000000">
      <w:pPr>
        <w:numPr>
          <w:ilvl w:val="0"/>
          <w:numId w:val="2"/>
        </w:numPr>
        <w:pBdr>
          <w:top w:val="nil"/>
          <w:left w:val="nil"/>
          <w:bottom w:val="nil"/>
          <w:right w:val="nil"/>
          <w:between w:val="nil"/>
        </w:pBdr>
      </w:pPr>
      <w:r>
        <w:rPr>
          <w:sz w:val="24"/>
          <w:szCs w:val="24"/>
        </w:rPr>
        <w:t xml:space="preserve">Memoria Histórica: Experiencias y Sistematización | PDF | Cerebro - Scribd, fecha de acceso: marzo 25, 2026, </w:t>
      </w:r>
      <w:hyperlink r:id="rId29">
        <w:r>
          <w:rPr>
            <w:color w:val="0000EE"/>
            <w:sz w:val="24"/>
            <w:szCs w:val="24"/>
            <w:u w:val="single"/>
          </w:rPr>
          <w:t>https://es.scribd.com/document/405000806/karen-2-pdf</w:t>
        </w:r>
      </w:hyperlink>
    </w:p>
    <w:p w14:paraId="2451DC91" w14:textId="77777777" w:rsidR="003C337A" w:rsidRDefault="00000000">
      <w:pPr>
        <w:numPr>
          <w:ilvl w:val="0"/>
          <w:numId w:val="2"/>
        </w:numPr>
        <w:pBdr>
          <w:top w:val="nil"/>
          <w:left w:val="nil"/>
          <w:bottom w:val="nil"/>
          <w:right w:val="nil"/>
          <w:between w:val="nil"/>
        </w:pBdr>
      </w:pPr>
      <w:r>
        <w:rPr>
          <w:sz w:val="24"/>
          <w:szCs w:val="24"/>
        </w:rPr>
        <w:t xml:space="preserve">Ontologías escritas y topografías del terror: indagaciones en torno a cadáveres de asesinados por prácticas represivas en 1976 (Córdoba, Argentina) - SciELO Colombia, fecha de acceso: marzo 25, 2026, </w:t>
      </w:r>
      <w:hyperlink r:id="rId30">
        <w:r>
          <w:rPr>
            <w:color w:val="0000EE"/>
            <w:sz w:val="24"/>
            <w:szCs w:val="24"/>
            <w:u w:val="single"/>
          </w:rPr>
          <w:t>http://www.scielo.org.co/scielo.php?script=sci_arttext&amp;pid=S1900-54072025000300161</w:t>
        </w:r>
      </w:hyperlink>
    </w:p>
    <w:p w14:paraId="73876FA7" w14:textId="77777777" w:rsidR="003C337A" w:rsidRPr="00135172" w:rsidRDefault="00000000">
      <w:pPr>
        <w:numPr>
          <w:ilvl w:val="0"/>
          <w:numId w:val="2"/>
        </w:numPr>
        <w:pBdr>
          <w:top w:val="nil"/>
          <w:left w:val="nil"/>
          <w:bottom w:val="nil"/>
          <w:right w:val="nil"/>
          <w:between w:val="nil"/>
        </w:pBdr>
        <w:rPr>
          <w:lang w:val="en-US"/>
        </w:rPr>
      </w:pPr>
      <w:r w:rsidRPr="00135172">
        <w:rPr>
          <w:sz w:val="24"/>
          <w:szCs w:val="24"/>
          <w:lang w:val="en-US"/>
        </w:rPr>
        <w:t xml:space="preserve">ICMP REPORT: - International Commission on Missing Persons, fecha de </w:t>
      </w:r>
      <w:r w:rsidRPr="00135172">
        <w:rPr>
          <w:sz w:val="24"/>
          <w:szCs w:val="24"/>
          <w:lang w:val="en-US"/>
        </w:rPr>
        <w:lastRenderedPageBreak/>
        <w:t xml:space="preserve">acceso: marzo 25, 2026, </w:t>
      </w:r>
      <w:hyperlink r:id="rId31">
        <w:r w:rsidRPr="00135172">
          <w:rPr>
            <w:color w:val="0000EE"/>
            <w:sz w:val="24"/>
            <w:szCs w:val="24"/>
            <w:u w:val="single"/>
            <w:lang w:val="en-US"/>
          </w:rPr>
          <w:t>https://www.icmp.int/wp-content/uploads/2008/10/icmp-cos-110-3-doc.pdf</w:t>
        </w:r>
      </w:hyperlink>
    </w:p>
    <w:p w14:paraId="2DD356BA" w14:textId="77777777" w:rsidR="003C337A" w:rsidRDefault="00000000">
      <w:pPr>
        <w:numPr>
          <w:ilvl w:val="0"/>
          <w:numId w:val="2"/>
        </w:numPr>
        <w:pBdr>
          <w:top w:val="nil"/>
          <w:left w:val="nil"/>
          <w:bottom w:val="nil"/>
          <w:right w:val="nil"/>
          <w:between w:val="nil"/>
        </w:pBdr>
      </w:pPr>
      <w:r>
        <w:rPr>
          <w:sz w:val="24"/>
          <w:szCs w:val="24"/>
        </w:rPr>
        <w:t xml:space="preserve">El estado colombiano frente a las órdenes de investigar, juzgar y sancionar a los responsables de violaciones a los derechos hu, fecha de acceso: marzo 25, 2026, </w:t>
      </w:r>
      <w:hyperlink r:id="rId32">
        <w:r>
          <w:rPr>
            <w:color w:val="0000EE"/>
            <w:sz w:val="24"/>
            <w:szCs w:val="24"/>
            <w:u w:val="single"/>
          </w:rPr>
          <w:t>https://repositorio.unal.edu.co/bitstreams/7ea4606b-2df9-44f5-89e8-5c71846e0003/download</w:t>
        </w:r>
      </w:hyperlink>
    </w:p>
    <w:p w14:paraId="1FB2D731" w14:textId="77777777" w:rsidR="003C337A" w:rsidRDefault="00000000">
      <w:pPr>
        <w:numPr>
          <w:ilvl w:val="0"/>
          <w:numId w:val="2"/>
        </w:numPr>
        <w:pBdr>
          <w:top w:val="nil"/>
          <w:left w:val="nil"/>
          <w:bottom w:val="nil"/>
          <w:right w:val="nil"/>
          <w:between w:val="nil"/>
        </w:pBdr>
      </w:pPr>
      <w:r>
        <w:rPr>
          <w:sz w:val="24"/>
          <w:szCs w:val="24"/>
        </w:rPr>
        <w:t xml:space="preserve">Flexibilización probatoria en casos de falsos positivos en la jurisprudencia colombiana - Dialnet, fecha de acceso: marzo 25, 2026, </w:t>
      </w:r>
      <w:hyperlink r:id="rId33">
        <w:r>
          <w:rPr>
            <w:color w:val="0000EE"/>
            <w:sz w:val="24"/>
            <w:szCs w:val="24"/>
            <w:u w:val="single"/>
          </w:rPr>
          <w:t>https://dialnet.unirioja.es/descarga/articulo/10136695.pdf</w:t>
        </w:r>
      </w:hyperlink>
    </w:p>
    <w:p w14:paraId="2AF6406E"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Building a Model of Sustainable Digital Ecologies for Archiving and Showcasing Grassroots Memory and Symbolic Reparation Initiatives - Edizioni CaFoscari, fecha de acceso: marzo 25, 2026, </w:t>
      </w:r>
      <w:hyperlink r:id="rId34">
        <w:r w:rsidRPr="00154023">
          <w:rPr>
            <w:color w:val="0000EE"/>
            <w:sz w:val="24"/>
            <w:szCs w:val="24"/>
            <w:u w:val="single"/>
            <w:lang w:val="en-US"/>
          </w:rPr>
          <w:t>https://edizionicafoscari.unive.it/media/pdf/article/magazen/2024/2/art-10.30687-mag-2724-3923-2024-02-002.pdf</w:t>
        </w:r>
      </w:hyperlink>
    </w:p>
    <w:p w14:paraId="44127655" w14:textId="77777777" w:rsidR="003C337A" w:rsidRDefault="00000000">
      <w:pPr>
        <w:numPr>
          <w:ilvl w:val="0"/>
          <w:numId w:val="2"/>
        </w:numPr>
        <w:pBdr>
          <w:top w:val="nil"/>
          <w:left w:val="nil"/>
          <w:bottom w:val="nil"/>
          <w:right w:val="nil"/>
          <w:between w:val="nil"/>
        </w:pBdr>
      </w:pPr>
      <w:r>
        <w:rPr>
          <w:sz w:val="24"/>
          <w:szCs w:val="24"/>
        </w:rPr>
        <w:t xml:space="preserve">El pueblo en las calles - Centro Nacional de Memoria Histórica, fecha de acceso: marzo 25, 2026, </w:t>
      </w:r>
      <w:hyperlink r:id="rId35">
        <w:r>
          <w:rPr>
            <w:color w:val="0000EE"/>
            <w:sz w:val="24"/>
            <w:szCs w:val="24"/>
            <w:u w:val="single"/>
          </w:rPr>
          <w:t>https://centrodememoriahistorica.gov.co/wp-content/uploads/2024/11/Estallido%20social%20vol%202%20digital%2020-11-2024.pdf</w:t>
        </w:r>
      </w:hyperlink>
    </w:p>
    <w:p w14:paraId="13526177" w14:textId="77777777" w:rsidR="003C337A" w:rsidRDefault="00000000">
      <w:pPr>
        <w:numPr>
          <w:ilvl w:val="0"/>
          <w:numId w:val="2"/>
        </w:numPr>
        <w:pBdr>
          <w:top w:val="nil"/>
          <w:left w:val="nil"/>
          <w:bottom w:val="nil"/>
          <w:right w:val="nil"/>
          <w:between w:val="nil"/>
        </w:pBdr>
      </w:pPr>
      <w:r>
        <w:rPr>
          <w:sz w:val="24"/>
          <w:szCs w:val="24"/>
        </w:rPr>
        <w:t xml:space="preserve">Colombia adentro Relatos territoriales sobre el conflicto armado, fecha de acceso: marzo 25, 2026, </w:t>
      </w:r>
      <w:hyperlink r:id="rId36">
        <w:r>
          <w:rPr>
            <w:color w:val="0000EE"/>
            <w:sz w:val="24"/>
            <w:szCs w:val="24"/>
            <w:u w:val="single"/>
          </w:rPr>
          <w:t>https://upload.wikimedia.org/wikipedia/commons/f/f3/Informe_Final_Comisi%C3%B3n_de_la_Verdad_-_Cap%C3%ADtulo_territorial_-_Din%C3%A1micas_urbanas_de_la_guerra.pdf</w:t>
        </w:r>
      </w:hyperlink>
    </w:p>
    <w:p w14:paraId="5A71C9C0" w14:textId="77777777" w:rsidR="003C337A" w:rsidRDefault="00000000">
      <w:pPr>
        <w:numPr>
          <w:ilvl w:val="0"/>
          <w:numId w:val="2"/>
        </w:numPr>
        <w:pBdr>
          <w:top w:val="nil"/>
          <w:left w:val="nil"/>
          <w:bottom w:val="nil"/>
          <w:right w:val="nil"/>
          <w:between w:val="nil"/>
        </w:pBdr>
      </w:pPr>
      <w:r>
        <w:rPr>
          <w:sz w:val="24"/>
          <w:szCs w:val="24"/>
        </w:rPr>
        <w:t xml:space="preserve">Boletín #42 del Observatorio sobre la JEP - Comisión Colombiana de Juristas, fecha de acceso: marzo 25, 2026, </w:t>
      </w:r>
      <w:hyperlink r:id="rId37">
        <w:r>
          <w:rPr>
            <w:color w:val="0000EE"/>
            <w:sz w:val="24"/>
            <w:szCs w:val="24"/>
            <w:u w:val="single"/>
          </w:rPr>
          <w:t>https://www.coljuristas.org/observatorio_jep/documentos/documento.php?lan=en&amp;id=207</w:t>
        </w:r>
      </w:hyperlink>
    </w:p>
    <w:p w14:paraId="5A55BB71" w14:textId="77777777" w:rsidR="003C337A" w:rsidRDefault="00000000">
      <w:pPr>
        <w:numPr>
          <w:ilvl w:val="0"/>
          <w:numId w:val="2"/>
        </w:numPr>
        <w:pBdr>
          <w:top w:val="nil"/>
          <w:left w:val="nil"/>
          <w:bottom w:val="nil"/>
          <w:right w:val="nil"/>
          <w:between w:val="nil"/>
        </w:pBdr>
      </w:pPr>
      <w:r>
        <w:rPr>
          <w:sz w:val="24"/>
          <w:szCs w:val="24"/>
        </w:rPr>
        <w:t xml:space="preserve">La actividad probatoria ante la Corte Interamericana de Derechos Humanos - Sur - International Journal on Human Rights, fecha de acceso: marzo 25, 2026, </w:t>
      </w:r>
      <w:hyperlink r:id="rId38">
        <w:r>
          <w:rPr>
            <w:color w:val="0000EE"/>
            <w:sz w:val="24"/>
            <w:szCs w:val="24"/>
            <w:u w:val="single"/>
          </w:rPr>
          <w:t>https://sur.conectas.org/es/la-actividad-probatoria-ante-la-corte-interamericana-de-derechos-humanos/</w:t>
        </w:r>
      </w:hyperlink>
    </w:p>
    <w:p w14:paraId="2604BF16" w14:textId="77777777" w:rsidR="003C337A" w:rsidRDefault="00000000">
      <w:pPr>
        <w:numPr>
          <w:ilvl w:val="0"/>
          <w:numId w:val="2"/>
        </w:numPr>
        <w:pBdr>
          <w:top w:val="nil"/>
          <w:left w:val="nil"/>
          <w:bottom w:val="nil"/>
          <w:right w:val="nil"/>
          <w:between w:val="nil"/>
        </w:pBdr>
      </w:pPr>
      <w:r>
        <w:rPr>
          <w:sz w:val="24"/>
          <w:szCs w:val="24"/>
        </w:rPr>
        <w:t xml:space="preserve">su060-21 Corte Constitucional de Colombia, fecha de acceso: marzo 25, 2026, </w:t>
      </w:r>
      <w:hyperlink r:id="rId39">
        <w:r>
          <w:rPr>
            <w:color w:val="0000EE"/>
            <w:sz w:val="24"/>
            <w:szCs w:val="24"/>
            <w:u w:val="single"/>
          </w:rPr>
          <w:t>https://www.corteconstitucional.gov.co/relatoria/2021/su060-21</w:t>
        </w:r>
      </w:hyperlink>
    </w:p>
    <w:p w14:paraId="1F236B16" w14:textId="77777777" w:rsidR="003C337A" w:rsidRDefault="00000000">
      <w:pPr>
        <w:numPr>
          <w:ilvl w:val="0"/>
          <w:numId w:val="2"/>
        </w:numPr>
        <w:pBdr>
          <w:top w:val="nil"/>
          <w:left w:val="nil"/>
          <w:bottom w:val="nil"/>
          <w:right w:val="nil"/>
          <w:between w:val="nil"/>
        </w:pBdr>
      </w:pPr>
      <w:r>
        <w:rPr>
          <w:sz w:val="24"/>
          <w:szCs w:val="24"/>
        </w:rPr>
        <w:t xml:space="preserve">FLEXIBILIZACIÓN PROBATORIA EN CASOS DE FALSOS POSITIVOS EN LA JURISPRUDENCIA COLOMBIANA - Revistas UNAULA, fecha de acceso: marzo 25, 2026, </w:t>
      </w:r>
      <w:hyperlink r:id="rId40">
        <w:r>
          <w:rPr>
            <w:color w:val="0000EE"/>
            <w:sz w:val="24"/>
            <w:szCs w:val="24"/>
            <w:u w:val="single"/>
          </w:rPr>
          <w:t>https://publicaciones.unaula.edu.co/index.php/ratiojuris/article/download/1639/2282?inline=1</w:t>
        </w:r>
      </w:hyperlink>
    </w:p>
    <w:p w14:paraId="2CCFF865" w14:textId="77777777" w:rsidR="003C337A" w:rsidRDefault="00000000">
      <w:pPr>
        <w:numPr>
          <w:ilvl w:val="0"/>
          <w:numId w:val="2"/>
        </w:numPr>
        <w:pBdr>
          <w:top w:val="nil"/>
          <w:left w:val="nil"/>
          <w:bottom w:val="nil"/>
          <w:right w:val="nil"/>
          <w:between w:val="nil"/>
        </w:pBdr>
      </w:pPr>
      <w:r>
        <w:rPr>
          <w:sz w:val="24"/>
          <w:szCs w:val="24"/>
        </w:rPr>
        <w:t xml:space="preserve">FLEXIBILIZACIÓN PROBATORIA EN CASOS DE FALSOS POSITIVOS EN LA JURISPRUDENCIA COLOMBIANA* - Redalyc, fecha de acceso: marzo 25, 2026, </w:t>
      </w:r>
      <w:hyperlink r:id="rId41">
        <w:r>
          <w:rPr>
            <w:color w:val="0000EE"/>
            <w:sz w:val="24"/>
            <w:szCs w:val="24"/>
            <w:u w:val="single"/>
          </w:rPr>
          <w:t>https://www.redalyc.org/journal/5857/585782152015/html/</w:t>
        </w:r>
      </w:hyperlink>
    </w:p>
    <w:p w14:paraId="41790685" w14:textId="77777777" w:rsidR="003C337A" w:rsidRDefault="00000000">
      <w:pPr>
        <w:numPr>
          <w:ilvl w:val="0"/>
          <w:numId w:val="2"/>
        </w:numPr>
        <w:pBdr>
          <w:top w:val="nil"/>
          <w:left w:val="nil"/>
          <w:bottom w:val="nil"/>
          <w:right w:val="nil"/>
          <w:between w:val="nil"/>
        </w:pBdr>
      </w:pPr>
      <w:r>
        <w:rPr>
          <w:sz w:val="24"/>
          <w:szCs w:val="24"/>
        </w:rPr>
        <w:t xml:space="preserve">CUADERNILLO DE JURISPRUDENCIA DE LA CORTE INTERAMERICANA DE DERECHOS HUMANOS Nº 6: DESAPARICIÓN FORZADA - Comisión de Acceso a la Justicia, fecha de acceso: marzo 25, 2026, </w:t>
      </w:r>
      <w:hyperlink r:id="rId42">
        <w:r>
          <w:rPr>
            <w:color w:val="0000EE"/>
            <w:sz w:val="24"/>
            <w:szCs w:val="24"/>
            <w:u w:val="single"/>
          </w:rPr>
          <w:t>https://accesoalajusticia.poder-judicial.go.cr/index.php/cuadernillos-de-jurisprudencia-normativa?download=1724:cuadernillo6-desaparicion-forzada</w:t>
        </w:r>
      </w:hyperlink>
    </w:p>
    <w:p w14:paraId="5AFBEF43" w14:textId="77777777" w:rsidR="003C337A" w:rsidRDefault="00000000">
      <w:pPr>
        <w:numPr>
          <w:ilvl w:val="0"/>
          <w:numId w:val="2"/>
        </w:numPr>
        <w:pBdr>
          <w:top w:val="nil"/>
          <w:left w:val="nil"/>
          <w:bottom w:val="nil"/>
          <w:right w:val="nil"/>
          <w:between w:val="nil"/>
        </w:pBdr>
      </w:pPr>
      <w:r>
        <w:rPr>
          <w:sz w:val="24"/>
          <w:szCs w:val="24"/>
        </w:rPr>
        <w:lastRenderedPageBreak/>
        <w:t xml:space="preserve">Sentencia de Unificación SU-287 de 2024 Corte Constitucional de Colombia - Secretaría General de la Alcaldía Mayor de Bogotá, fecha de acceso: marzo 25, 2026, </w:t>
      </w:r>
      <w:hyperlink r:id="rId43">
        <w:r>
          <w:rPr>
            <w:color w:val="0000EE"/>
            <w:sz w:val="24"/>
            <w:szCs w:val="24"/>
            <w:u w:val="single"/>
          </w:rPr>
          <w:t>https://www.alcaldiabogota.gov.co/sisjur/normas/Norma1.jsp?i=178477&amp;dt=S</w:t>
        </w:r>
      </w:hyperlink>
    </w:p>
    <w:p w14:paraId="0E16BA1B" w14:textId="77777777" w:rsidR="003C337A" w:rsidRDefault="00000000">
      <w:pPr>
        <w:numPr>
          <w:ilvl w:val="0"/>
          <w:numId w:val="2"/>
        </w:numPr>
        <w:pBdr>
          <w:top w:val="nil"/>
          <w:left w:val="nil"/>
          <w:bottom w:val="nil"/>
          <w:right w:val="nil"/>
          <w:between w:val="nil"/>
        </w:pBdr>
      </w:pPr>
      <w:r>
        <w:rPr>
          <w:sz w:val="24"/>
          <w:szCs w:val="24"/>
        </w:rPr>
        <w:t xml:space="preserve">Corte Interamericana de Derechos Humanos - Buscador Corte IDH, fecha de acceso: marzo 25, 2026, </w:t>
      </w:r>
      <w:hyperlink r:id="rId44">
        <w:r>
          <w:rPr>
            <w:color w:val="0000EE"/>
            <w:sz w:val="24"/>
            <w:szCs w:val="24"/>
            <w:u w:val="single"/>
          </w:rPr>
          <w:t>https://corteidh.scjn.gob.mx/buscador/doc?doc=casos_sentencias/CasoValleJaramilloOtrosVsColombia_FondoReparacionesCostas.htm</w:t>
        </w:r>
      </w:hyperlink>
    </w:p>
    <w:p w14:paraId="18EE4C57" w14:textId="77777777" w:rsidR="003C337A" w:rsidRDefault="00000000">
      <w:pPr>
        <w:numPr>
          <w:ilvl w:val="0"/>
          <w:numId w:val="2"/>
        </w:numPr>
        <w:pBdr>
          <w:top w:val="nil"/>
          <w:left w:val="nil"/>
          <w:bottom w:val="nil"/>
          <w:right w:val="nil"/>
          <w:between w:val="nil"/>
        </w:pBdr>
      </w:pPr>
      <w:r>
        <w:rPr>
          <w:sz w:val="24"/>
          <w:szCs w:val="24"/>
        </w:rPr>
        <w:t xml:space="preserve">La jurisprudencia de la Corte Interamericana respecto a la lucha contra la impunidad: algunos avances y debates - Legal Tools Database, fecha de acceso: marzo 25, 2026, </w:t>
      </w:r>
      <w:hyperlink r:id="rId45">
        <w:r>
          <w:rPr>
            <w:color w:val="0000EE"/>
            <w:sz w:val="24"/>
            <w:szCs w:val="24"/>
            <w:u w:val="single"/>
          </w:rPr>
          <w:t>https://www.legal-tools.org/doc/a2f180/pdf/</w:t>
        </w:r>
      </w:hyperlink>
    </w:p>
    <w:p w14:paraId="08F377BB" w14:textId="77777777" w:rsidR="003C337A" w:rsidRDefault="00000000">
      <w:pPr>
        <w:numPr>
          <w:ilvl w:val="0"/>
          <w:numId w:val="2"/>
        </w:numPr>
        <w:pBdr>
          <w:top w:val="nil"/>
          <w:left w:val="nil"/>
          <w:bottom w:val="nil"/>
          <w:right w:val="nil"/>
          <w:between w:val="nil"/>
        </w:pBdr>
      </w:pPr>
      <w:r>
        <w:rPr>
          <w:sz w:val="24"/>
          <w:szCs w:val="24"/>
        </w:rPr>
        <w:t xml:space="preserve">Nadege Dorzema et al. v. Dominican Republic - University of Minnesota Human Rights Library, fecha de acceso: marzo 25, 2026, </w:t>
      </w:r>
      <w:hyperlink r:id="rId46">
        <w:r>
          <w:rPr>
            <w:color w:val="0000EE"/>
            <w:sz w:val="24"/>
            <w:szCs w:val="24"/>
            <w:u w:val="single"/>
          </w:rPr>
          <w:t>https://hrlibrary.umn.edu/iachr/C/251-ing.html</w:t>
        </w:r>
      </w:hyperlink>
    </w:p>
    <w:p w14:paraId="7F44F767" w14:textId="77777777" w:rsidR="003C337A" w:rsidRDefault="00000000">
      <w:pPr>
        <w:numPr>
          <w:ilvl w:val="0"/>
          <w:numId w:val="2"/>
        </w:numPr>
        <w:pBdr>
          <w:top w:val="nil"/>
          <w:left w:val="nil"/>
          <w:bottom w:val="nil"/>
          <w:right w:val="nil"/>
          <w:between w:val="nil"/>
        </w:pBdr>
      </w:pPr>
      <w:r>
        <w:rPr>
          <w:sz w:val="24"/>
          <w:szCs w:val="24"/>
        </w:rPr>
        <w:t xml:space="preserve">CRITERIOS DE LA CORTE INTERAMERICANA DE DERECHOS HUMANOS - UNAM, fecha de acceso: marzo 25, 2026, </w:t>
      </w:r>
      <w:hyperlink r:id="rId47">
        <w:r>
          <w:rPr>
            <w:color w:val="0000EE"/>
            <w:sz w:val="24"/>
            <w:szCs w:val="24"/>
            <w:u w:val="single"/>
          </w:rPr>
          <w:t>https://archivos.juridicas.unam.mx/www/bjv/libros/10/4572/13.pdf</w:t>
        </w:r>
      </w:hyperlink>
    </w:p>
    <w:p w14:paraId="13D42CA5" w14:textId="77777777" w:rsidR="003C337A" w:rsidRDefault="00000000">
      <w:pPr>
        <w:numPr>
          <w:ilvl w:val="0"/>
          <w:numId w:val="2"/>
        </w:numPr>
        <w:pBdr>
          <w:top w:val="nil"/>
          <w:left w:val="nil"/>
          <w:bottom w:val="nil"/>
          <w:right w:val="nil"/>
          <w:between w:val="nil"/>
        </w:pBdr>
      </w:pPr>
      <w:r>
        <w:rPr>
          <w:sz w:val="24"/>
          <w:szCs w:val="24"/>
        </w:rPr>
        <w:t xml:space="preserve">Estandares De La Corte Interamericana De Derechos Humanos Para La Reparacion Del Derecho A La Verdad En El Peru Del Posconflicto, fecha de acceso: marzo 25, 2026, </w:t>
      </w:r>
      <w:hyperlink r:id="rId48">
        <w:r>
          <w:rPr>
            <w:color w:val="0000EE"/>
            <w:sz w:val="24"/>
            <w:szCs w:val="24"/>
            <w:u w:val="single"/>
          </w:rPr>
          <w:t>https://digitalcommons.wcl.american.edu/cgi/viewcontent.cgi?article=1905&amp;context=auilr</w:t>
        </w:r>
      </w:hyperlink>
    </w:p>
    <w:p w14:paraId="4DC18417" w14:textId="77777777" w:rsidR="003C337A" w:rsidRDefault="00000000">
      <w:pPr>
        <w:numPr>
          <w:ilvl w:val="0"/>
          <w:numId w:val="2"/>
        </w:numPr>
        <w:pBdr>
          <w:top w:val="nil"/>
          <w:left w:val="nil"/>
          <w:bottom w:val="nil"/>
          <w:right w:val="nil"/>
          <w:between w:val="nil"/>
        </w:pBdr>
      </w:pPr>
      <w:r>
        <w:rPr>
          <w:sz w:val="24"/>
          <w:szCs w:val="24"/>
        </w:rPr>
        <w:t xml:space="preserve">Caso Isaza Uribe vs. Colombia - Buscador Corte IDH, fecha de acceso: marzo 25, 2026, </w:t>
      </w:r>
      <w:hyperlink r:id="rId49">
        <w:r>
          <w:rPr>
            <w:color w:val="0000EE"/>
            <w:sz w:val="24"/>
            <w:szCs w:val="24"/>
            <w:u w:val="single"/>
          </w:rPr>
          <w:t>https://corteidh.scjn.gob.mx/buscador/doc?doc=casos_sentencias/363_Caso%20Isaza%20UribevsColombia_FondoReparacionesCostas.html</w:t>
        </w:r>
      </w:hyperlink>
    </w:p>
    <w:p w14:paraId="13F55182" w14:textId="77777777" w:rsidR="003C337A" w:rsidRDefault="00000000">
      <w:pPr>
        <w:numPr>
          <w:ilvl w:val="0"/>
          <w:numId w:val="2"/>
        </w:numPr>
        <w:pBdr>
          <w:top w:val="nil"/>
          <w:left w:val="nil"/>
          <w:bottom w:val="nil"/>
          <w:right w:val="nil"/>
          <w:between w:val="nil"/>
        </w:pBdr>
      </w:pPr>
      <w:r>
        <w:rPr>
          <w:sz w:val="24"/>
          <w:szCs w:val="24"/>
        </w:rPr>
        <w:t xml:space="preserve">2068 19. CASO ISAZA URIBE Y OTROS VS. COLOMBIA Sentencia de 20 de noviembre de 2018 (Fondo, Reparaciones y Costas) En el caso Is - Brill, fecha de acceso: marzo 25, 2026, </w:t>
      </w:r>
      <w:hyperlink r:id="rId50">
        <w:r>
          <w:rPr>
            <w:color w:val="0000EE"/>
            <w:sz w:val="24"/>
            <w:szCs w:val="24"/>
            <w:u w:val="single"/>
          </w:rPr>
          <w:t>https://brill.com/edcollchap/book/9789004530621/B9789004530621_s004.pdf</w:t>
        </w:r>
      </w:hyperlink>
    </w:p>
    <w:p w14:paraId="454491F6" w14:textId="77777777" w:rsidR="003C337A" w:rsidRDefault="00000000">
      <w:pPr>
        <w:numPr>
          <w:ilvl w:val="0"/>
          <w:numId w:val="2"/>
        </w:numPr>
        <w:pBdr>
          <w:top w:val="nil"/>
          <w:left w:val="nil"/>
          <w:bottom w:val="nil"/>
          <w:right w:val="nil"/>
          <w:between w:val="nil"/>
        </w:pBdr>
      </w:pPr>
      <w:r>
        <w:rPr>
          <w:sz w:val="24"/>
          <w:szCs w:val="24"/>
        </w:rPr>
        <w:t xml:space="preserve">LA PRUEBA EN LOS PROCESOS ANTE LA CORTE INTERAMERICANA DE DERECHOS HUMANOS - UNAM, fecha de acceso: marzo 25, 2026, </w:t>
      </w:r>
      <w:hyperlink r:id="rId51">
        <w:r>
          <w:rPr>
            <w:color w:val="0000EE"/>
            <w:sz w:val="24"/>
            <w:szCs w:val="24"/>
            <w:u w:val="single"/>
          </w:rPr>
          <w:t>https://archivos.juridicas.unam.mx/www/bjv/libros/5/2454/8.pdf</w:t>
        </w:r>
      </w:hyperlink>
    </w:p>
    <w:p w14:paraId="72A06ADF"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Protection of the Right to the Freedom of Expression in the Inter-American System | CEJIL, fecha de acceso: marzo 25, 2026, </w:t>
      </w:r>
      <w:hyperlink r:id="rId52">
        <w:r w:rsidRPr="00154023">
          <w:rPr>
            <w:color w:val="0000EE"/>
            <w:sz w:val="24"/>
            <w:szCs w:val="24"/>
            <w:u w:val="single"/>
            <w:lang w:val="en-US"/>
          </w:rPr>
          <w:t>https://cejil.org/wp-content/uploads/pdfs/protection_of_the_right_to_freedom_of_expression_0.pdf</w:t>
        </w:r>
      </w:hyperlink>
    </w:p>
    <w:p w14:paraId="0F30EB6B" w14:textId="77777777" w:rsidR="003C337A" w:rsidRDefault="00000000">
      <w:pPr>
        <w:numPr>
          <w:ilvl w:val="0"/>
          <w:numId w:val="2"/>
        </w:numPr>
        <w:pBdr>
          <w:top w:val="nil"/>
          <w:left w:val="nil"/>
          <w:bottom w:val="nil"/>
          <w:right w:val="nil"/>
          <w:between w:val="nil"/>
        </w:pBdr>
      </w:pPr>
      <w:r>
        <w:rPr>
          <w:sz w:val="24"/>
          <w:szCs w:val="24"/>
        </w:rPr>
        <w:t xml:space="preserve">GUÍA DE METADATOS - Archivo General de la Nación, fecha de acceso: marzo 25, 2026, </w:t>
      </w:r>
      <w:hyperlink r:id="rId53">
        <w:r>
          <w:rPr>
            <w:color w:val="0000EE"/>
            <w:sz w:val="24"/>
            <w:szCs w:val="24"/>
            <w:u w:val="single"/>
          </w:rPr>
          <w:t>https://www.archivogeneral.gov.co/sites/default/files/Estructura_Web/5_Consulte/Recursos/Publicacionees/GuiaDeMetadatos.pdf</w:t>
        </w:r>
      </w:hyperlink>
    </w:p>
    <w:p w14:paraId="62C42BD4" w14:textId="77777777" w:rsidR="003C337A" w:rsidRDefault="00000000">
      <w:pPr>
        <w:numPr>
          <w:ilvl w:val="0"/>
          <w:numId w:val="2"/>
        </w:numPr>
        <w:pBdr>
          <w:top w:val="nil"/>
          <w:left w:val="nil"/>
          <w:bottom w:val="nil"/>
          <w:right w:val="nil"/>
          <w:between w:val="nil"/>
        </w:pBdr>
      </w:pPr>
      <w:r>
        <w:rPr>
          <w:sz w:val="24"/>
          <w:szCs w:val="24"/>
        </w:rPr>
        <w:t xml:space="preserve">Metadatos, fecha de acceso: marzo 25, 2026, </w:t>
      </w:r>
      <w:hyperlink r:id="rId54">
        <w:r>
          <w:rPr>
            <w:color w:val="0000EE"/>
            <w:sz w:val="24"/>
            <w:szCs w:val="24"/>
            <w:u w:val="single"/>
          </w:rPr>
          <w:t>https://openaccess.uoc.edu/bitstream/10609/150303/8/Metadatos.pdf</w:t>
        </w:r>
      </w:hyperlink>
    </w:p>
    <w:p w14:paraId="1AD25A8E" w14:textId="77777777" w:rsidR="003C337A" w:rsidRDefault="00000000">
      <w:pPr>
        <w:numPr>
          <w:ilvl w:val="0"/>
          <w:numId w:val="2"/>
        </w:numPr>
        <w:pBdr>
          <w:top w:val="nil"/>
          <w:left w:val="nil"/>
          <w:bottom w:val="nil"/>
          <w:right w:val="nil"/>
          <w:between w:val="nil"/>
        </w:pBdr>
      </w:pPr>
      <w:r>
        <w:rPr>
          <w:sz w:val="24"/>
          <w:szCs w:val="24"/>
        </w:rPr>
        <w:t xml:space="preserve">Events Standard Formats | HURIDOCS, fecha de acceso: marzo 25, 2026, </w:t>
      </w:r>
      <w:hyperlink r:id="rId55">
        <w:r>
          <w:rPr>
            <w:color w:val="0000EE"/>
            <w:sz w:val="24"/>
            <w:szCs w:val="24"/>
            <w:u w:val="single"/>
          </w:rPr>
          <w:t>https://huridocs.org/resource-library/monitoring-and-documenting-human-rights-violations/events-standard-formats/</w:t>
        </w:r>
      </w:hyperlink>
    </w:p>
    <w:p w14:paraId="12E8BAB4"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HURIDOCS events standard formats : a tool for documenting human rights </w:t>
      </w:r>
      <w:r w:rsidRPr="00154023">
        <w:rPr>
          <w:sz w:val="24"/>
          <w:szCs w:val="24"/>
          <w:lang w:val="en-US"/>
        </w:rPr>
        <w:lastRenderedPageBreak/>
        <w:t xml:space="preserve">violations, fecha de acceso: marzo 25, 2026, </w:t>
      </w:r>
      <w:hyperlink r:id="rId56">
        <w:r w:rsidRPr="00154023">
          <w:rPr>
            <w:color w:val="0000EE"/>
            <w:sz w:val="24"/>
            <w:szCs w:val="24"/>
            <w:u w:val="single"/>
            <w:lang w:val="en-US"/>
          </w:rPr>
          <w:t>https://huridocs.org/wp-content/uploads/2020/11/HURIDOCS_ESF_English1.pdf</w:t>
        </w:r>
      </w:hyperlink>
    </w:p>
    <w:p w14:paraId="054F38F3"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Find what matters with Uwazi | huridocs, fecha de acceso: marzo 25, 2026, </w:t>
      </w:r>
      <w:hyperlink r:id="rId57">
        <w:r w:rsidRPr="00154023">
          <w:rPr>
            <w:color w:val="0000EE"/>
            <w:sz w:val="24"/>
            <w:szCs w:val="24"/>
            <w:u w:val="single"/>
            <w:lang w:val="en-US"/>
          </w:rPr>
          <w:t>https://huridocs.org/wp-content/uploads/2023/03/Uwazi-Find-what-matters-2022.pdf</w:t>
        </w:r>
      </w:hyperlink>
    </w:p>
    <w:p w14:paraId="4B488689"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Uwazi's AI-powered Metadata Extractor: A game changer for human rights documentation, fecha de acceso: marzo 25, 2026, </w:t>
      </w:r>
      <w:hyperlink r:id="rId58">
        <w:r w:rsidRPr="00154023">
          <w:rPr>
            <w:color w:val="0000EE"/>
            <w:sz w:val="24"/>
            <w:szCs w:val="24"/>
            <w:u w:val="single"/>
            <w:lang w:val="en-US"/>
          </w:rPr>
          <w:t>https://huridocs.org/2025/09/uwazi-ai-powered-metadata-extractor-a-game-changer-for-human-rights-documentation/</w:t>
        </w:r>
      </w:hyperlink>
    </w:p>
    <w:p w14:paraId="385E21D1" w14:textId="77777777" w:rsidR="003C337A" w:rsidRDefault="00000000">
      <w:pPr>
        <w:numPr>
          <w:ilvl w:val="0"/>
          <w:numId w:val="2"/>
        </w:numPr>
        <w:pBdr>
          <w:top w:val="nil"/>
          <w:left w:val="nil"/>
          <w:bottom w:val="nil"/>
          <w:right w:val="nil"/>
          <w:between w:val="nil"/>
        </w:pBdr>
      </w:pPr>
      <w:r>
        <w:rPr>
          <w:sz w:val="24"/>
          <w:szCs w:val="24"/>
        </w:rPr>
        <w:t xml:space="preserve">¿Qué es la gestión de metadatos? - IBM, fecha de acceso: marzo 25, 2026, </w:t>
      </w:r>
      <w:hyperlink r:id="rId59">
        <w:r>
          <w:rPr>
            <w:color w:val="0000EE"/>
            <w:sz w:val="24"/>
            <w:szCs w:val="24"/>
            <w:u w:val="single"/>
          </w:rPr>
          <w:t>https://www.ibm.com/es-es/think/topics/metadata-management</w:t>
        </w:r>
      </w:hyperlink>
    </w:p>
    <w:p w14:paraId="0E4425EC" w14:textId="77777777" w:rsidR="003C337A" w:rsidRDefault="00000000">
      <w:pPr>
        <w:numPr>
          <w:ilvl w:val="0"/>
          <w:numId w:val="2"/>
        </w:numPr>
        <w:pBdr>
          <w:top w:val="nil"/>
          <w:left w:val="nil"/>
          <w:bottom w:val="nil"/>
          <w:right w:val="nil"/>
          <w:between w:val="nil"/>
        </w:pBdr>
      </w:pPr>
      <w:r>
        <w:rPr>
          <w:sz w:val="24"/>
          <w:szCs w:val="24"/>
        </w:rPr>
        <w:t xml:space="preserve">Guía para el uso y la publicación de metadatos — documentación de paquete-apertura-datos - 0.1.0, fecha de acceso: marzo 25, 2026, </w:t>
      </w:r>
      <w:hyperlink r:id="rId60">
        <w:r>
          <w:rPr>
            <w:color w:val="0000EE"/>
            <w:sz w:val="24"/>
            <w:szCs w:val="24"/>
            <w:u w:val="single"/>
          </w:rPr>
          <w:t>https://paquete-apertura-datos.readthedocs.io/es/0.1.1/guia_metadatos.html</w:t>
        </w:r>
      </w:hyperlink>
    </w:p>
    <w:p w14:paraId="676F7DCA"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"Formats are a Tool for the Quest for Truth": HURIDOCS Human Rights Materials for Library and Human Rights Wor, fecha de acceso: marzo 25, 2026, </w:t>
      </w:r>
      <w:hyperlink r:id="rId61">
        <w:r w:rsidRPr="00154023">
          <w:rPr>
            <w:color w:val="0000EE"/>
            <w:sz w:val="24"/>
            <w:szCs w:val="24"/>
            <w:u w:val="single"/>
            <w:lang w:val="en-US"/>
          </w:rPr>
          <w:t>http://www.progressivelibrariansguild.org/PL/PL26/033.pdf</w:t>
        </w:r>
      </w:hyperlink>
    </w:p>
    <w:p w14:paraId="3B398AEB"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Huridocs standard formats for the recording and exchange of bibliographic information concerning human rights. - Labordoc, fecha de acceso: marzo 25, 2026, </w:t>
      </w:r>
      <w:hyperlink r:id="rId62">
        <w:r w:rsidRPr="00154023">
          <w:rPr>
            <w:color w:val="0000EE"/>
            <w:sz w:val="24"/>
            <w:szCs w:val="24"/>
            <w:u w:val="single"/>
            <w:lang w:val="en-US"/>
          </w:rPr>
          <w:t>https://labordoc.ilo.org/discovery/fulldisplay/alma993090263402676/41ILO_INST:41ILO_V1</w:t>
        </w:r>
      </w:hyperlink>
    </w:p>
    <w:p w14:paraId="29933FBA" w14:textId="77777777" w:rsidR="003C337A" w:rsidRDefault="00000000">
      <w:pPr>
        <w:numPr>
          <w:ilvl w:val="0"/>
          <w:numId w:val="2"/>
        </w:numPr>
        <w:pBdr>
          <w:top w:val="nil"/>
          <w:left w:val="nil"/>
          <w:bottom w:val="nil"/>
          <w:right w:val="nil"/>
          <w:between w:val="nil"/>
        </w:pBdr>
      </w:pPr>
      <w:r>
        <w:rPr>
          <w:sz w:val="24"/>
          <w:szCs w:val="24"/>
        </w:rPr>
        <w:t xml:space="preserve">202103002027 REPÚBLICA DE COLOMBIA JURISDICCIÓN ESPECIAL PARA LA PAZ SALAS DE JUSTICIA SALA DE RECONOCIMI - Humanidad Vigente, fecha de acceso: marzo 25, 2026, </w:t>
      </w:r>
      <w:hyperlink r:id="rId63">
        <w:r>
          <w:rPr>
            <w:color w:val="0000EE"/>
            <w:sz w:val="24"/>
            <w:szCs w:val="24"/>
            <w:u w:val="single"/>
          </w:rPr>
          <w:t>https://repositorio.humanidadvigente.net/wp-content/uploads/2024/06/Auto033-12ebrero2021.pdf</w:t>
        </w:r>
      </w:hyperlink>
    </w:p>
    <w:p w14:paraId="11007AB2" w14:textId="77777777" w:rsidR="003C337A" w:rsidRDefault="00000000">
      <w:pPr>
        <w:numPr>
          <w:ilvl w:val="0"/>
          <w:numId w:val="2"/>
        </w:numPr>
        <w:pBdr>
          <w:top w:val="nil"/>
          <w:left w:val="nil"/>
          <w:bottom w:val="nil"/>
          <w:right w:val="nil"/>
          <w:between w:val="nil"/>
        </w:pBdr>
      </w:pPr>
      <w:r>
        <w:rPr>
          <w:sz w:val="24"/>
          <w:szCs w:val="24"/>
        </w:rPr>
        <w:t xml:space="preserve">Cómo debemos entender el concepto de “patrón de violencia política”: repertorio, objetivo, frecuencia y técnica - ResearchGate, fecha de acceso: marzo 25, 2026, </w:t>
      </w:r>
      <w:hyperlink r:id="rId64">
        <w:r>
          <w:rPr>
            <w:color w:val="0000EE"/>
            <w:sz w:val="24"/>
            <w:szCs w:val="24"/>
            <w:u w:val="single"/>
          </w:rPr>
          <w:t>https://www.researchgate.net/publication/338781898_Como_debemos_entender_el_concepto_de_patron_de_violencia_politica_repertorio_objetivo_frecuencia_y_tecnica</w:t>
        </w:r>
      </w:hyperlink>
    </w:p>
    <w:p w14:paraId="5A6FB403" w14:textId="77777777" w:rsidR="003C337A" w:rsidRDefault="00000000">
      <w:pPr>
        <w:numPr>
          <w:ilvl w:val="0"/>
          <w:numId w:val="2"/>
        </w:numPr>
        <w:pBdr>
          <w:top w:val="nil"/>
          <w:left w:val="nil"/>
          <w:bottom w:val="nil"/>
          <w:right w:val="nil"/>
          <w:between w:val="nil"/>
        </w:pBdr>
      </w:pPr>
      <w:r>
        <w:rPr>
          <w:sz w:val="24"/>
          <w:szCs w:val="24"/>
        </w:rPr>
        <w:t xml:space="preserve">Centro Nacional de Memoria Histórica, fecha de acceso: marzo 25, 2026, </w:t>
      </w:r>
      <w:hyperlink r:id="rId65">
        <w:r>
          <w:rPr>
            <w:color w:val="0000EE"/>
            <w:sz w:val="24"/>
            <w:szCs w:val="24"/>
            <w:u w:val="single"/>
          </w:rPr>
          <w:t>https://centrodememoriahistorica.gov.co/</w:t>
        </w:r>
      </w:hyperlink>
    </w:p>
    <w:p w14:paraId="0A59BD85"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How we make sure that nobody is counted twice: A peek into HRDAG's record de-duplication, fecha de acceso: marzo 25, 2026, </w:t>
      </w:r>
      <w:hyperlink r:id="rId66">
        <w:r w:rsidRPr="00154023">
          <w:rPr>
            <w:color w:val="0000EE"/>
            <w:sz w:val="24"/>
            <w:szCs w:val="24"/>
            <w:u w:val="single"/>
            <w:lang w:val="en-US"/>
          </w:rPr>
          <w:t>https://hrdag.org/2013/03/07/hrdags-record-de-duplication/</w:t>
        </w:r>
      </w:hyperlink>
    </w:p>
    <w:p w14:paraId="2FC85668" w14:textId="77777777" w:rsidR="003C337A" w:rsidRDefault="00000000">
      <w:pPr>
        <w:numPr>
          <w:ilvl w:val="0"/>
          <w:numId w:val="2"/>
        </w:numPr>
        <w:pBdr>
          <w:top w:val="nil"/>
          <w:left w:val="nil"/>
          <w:bottom w:val="nil"/>
          <w:right w:val="nil"/>
          <w:between w:val="nil"/>
        </w:pBdr>
      </w:pPr>
      <w:r>
        <w:rPr>
          <w:sz w:val="24"/>
          <w:szCs w:val="24"/>
        </w:rPr>
        <w:t xml:space="preserve">Untitled - Comisión de la Verdad, fecha de acceso: marzo 25, 2026, </w:t>
      </w:r>
      <w:hyperlink r:id="rId67">
        <w:r>
          <w:rPr>
            <w:color w:val="0000EE"/>
            <w:sz w:val="24"/>
            <w:szCs w:val="24"/>
            <w:u w:val="single"/>
          </w:rPr>
          <w:t>https://www.comisiondelaverdad.co/sites/default/files/2023-05/Metodologia%20Investigacion_Ingles.pdf</w:t>
        </w:r>
      </w:hyperlink>
    </w:p>
    <w:p w14:paraId="33A7AB60"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Methodological report of the JEP-CEV-HRDAG Joint Project on data integration and statistical estimation, fecha de acceso: marzo 25, 2026, </w:t>
      </w:r>
      <w:hyperlink r:id="rId68">
        <w:r w:rsidRPr="00154023">
          <w:rPr>
            <w:color w:val="0000EE"/>
            <w:sz w:val="24"/>
            <w:szCs w:val="24"/>
            <w:u w:val="single"/>
            <w:lang w:val="en-US"/>
          </w:rPr>
          <w:t>https://hrdag.org/CEV-JEP/20250306-methodological-report-EN.pdf</w:t>
        </w:r>
      </w:hyperlink>
    </w:p>
    <w:p w14:paraId="42664250" w14:textId="77777777" w:rsidR="003C337A" w:rsidRDefault="00000000">
      <w:pPr>
        <w:numPr>
          <w:ilvl w:val="0"/>
          <w:numId w:val="2"/>
        </w:numPr>
        <w:pBdr>
          <w:top w:val="nil"/>
          <w:left w:val="nil"/>
          <w:bottom w:val="nil"/>
          <w:right w:val="nil"/>
          <w:between w:val="nil"/>
        </w:pBdr>
      </w:pPr>
      <w:r>
        <w:rPr>
          <w:sz w:val="24"/>
          <w:szCs w:val="24"/>
        </w:rPr>
        <w:t xml:space="preserve">Informe metodológico del proyecto conjunto JEP-CEV-HRDAG de integración de datos y estimación estadística, fecha de acceso: marzo 25, 2026, </w:t>
      </w:r>
      <w:hyperlink r:id="rId69">
        <w:r>
          <w:rPr>
            <w:color w:val="0000EE"/>
            <w:sz w:val="24"/>
            <w:szCs w:val="24"/>
            <w:u w:val="single"/>
          </w:rPr>
          <w:t>https://hrdag.org/CEV-JEP/20250306-methodological-report-ES.pdf</w:t>
        </w:r>
      </w:hyperlink>
    </w:p>
    <w:p w14:paraId="680AD8FE" w14:textId="77777777" w:rsidR="003C337A" w:rsidRDefault="00000000">
      <w:pPr>
        <w:numPr>
          <w:ilvl w:val="0"/>
          <w:numId w:val="2"/>
        </w:numPr>
        <w:pBdr>
          <w:top w:val="nil"/>
          <w:left w:val="nil"/>
          <w:bottom w:val="nil"/>
          <w:right w:val="nil"/>
          <w:between w:val="nil"/>
        </w:pBdr>
      </w:pPr>
      <w:r>
        <w:rPr>
          <w:sz w:val="24"/>
          <w:szCs w:val="24"/>
        </w:rPr>
        <w:t xml:space="preserve">Publications - Oracle Labs, fecha de acceso: marzo 25, 2026, </w:t>
      </w:r>
      <w:hyperlink r:id="rId70">
        <w:r>
          <w:rPr>
            <w:color w:val="0000EE"/>
            <w:sz w:val="24"/>
            <w:szCs w:val="24"/>
            <w:u w:val="single"/>
          </w:rPr>
          <w:t>https://labs.oracle.com/pls/apex/r/labs/labs/publications?session=736906902885</w:t>
        </w:r>
      </w:hyperlink>
    </w:p>
    <w:p w14:paraId="033371A0"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Deaths in custody during the armed conflict in Syria, 2011–2023 - HRDAG, fecha de acceso: marzo 25, 2026, </w:t>
      </w:r>
      <w:hyperlink r:id="rId71">
        <w:r w:rsidRPr="00154023">
          <w:rPr>
            <w:color w:val="0000EE"/>
            <w:sz w:val="24"/>
            <w:szCs w:val="24"/>
            <w:u w:val="single"/>
            <w:lang w:val="en-US"/>
          </w:rPr>
          <w:t>https://hrdag.org/report/20241210-deaths-in-custody.pdf</w:t>
        </w:r>
      </w:hyperlink>
    </w:p>
    <w:p w14:paraId="679AC96F" w14:textId="77777777" w:rsidR="003C337A" w:rsidRDefault="00000000">
      <w:pPr>
        <w:numPr>
          <w:ilvl w:val="0"/>
          <w:numId w:val="2"/>
        </w:numPr>
        <w:pBdr>
          <w:top w:val="nil"/>
          <w:left w:val="nil"/>
          <w:bottom w:val="nil"/>
          <w:right w:val="nil"/>
          <w:between w:val="nil"/>
        </w:pBdr>
      </w:pPr>
      <w:r>
        <w:rPr>
          <w:sz w:val="24"/>
          <w:szCs w:val="24"/>
        </w:rPr>
        <w:t xml:space="preserve">Nº E77 - RISTI, fecha de acceso: marzo 25, 2026, </w:t>
      </w:r>
      <w:hyperlink r:id="rId72">
        <w:r>
          <w:rPr>
            <w:color w:val="0000EE"/>
            <w:sz w:val="24"/>
            <w:szCs w:val="24"/>
            <w:u w:val="single"/>
          </w:rPr>
          <w:t>https://www.risti.xyz/issues/ristie77.pdf</w:t>
        </w:r>
      </w:hyperlink>
    </w:p>
    <w:p w14:paraId="382E9E04"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Past Events - Data Science Institute | Brown University, fecha de acceso: marzo 25, 2026, </w:t>
      </w:r>
      <w:hyperlink r:id="rId73">
        <w:r w:rsidRPr="00154023">
          <w:rPr>
            <w:color w:val="0000EE"/>
            <w:sz w:val="24"/>
            <w:szCs w:val="24"/>
            <w:u w:val="single"/>
            <w:lang w:val="en-US"/>
          </w:rPr>
          <w:t>https://dsi.brown.edu/events/past-events</w:t>
        </w:r>
      </w:hyperlink>
    </w:p>
    <w:p w14:paraId="6F70BF24" w14:textId="77777777" w:rsidR="003C337A" w:rsidRDefault="00000000">
      <w:pPr>
        <w:numPr>
          <w:ilvl w:val="0"/>
          <w:numId w:val="2"/>
        </w:numPr>
        <w:pBdr>
          <w:top w:val="nil"/>
          <w:left w:val="nil"/>
          <w:bottom w:val="nil"/>
          <w:right w:val="nil"/>
          <w:between w:val="nil"/>
        </w:pBdr>
      </w:pPr>
      <w:r>
        <w:rPr>
          <w:sz w:val="24"/>
          <w:szCs w:val="24"/>
        </w:rPr>
        <w:t xml:space="preserve">Visor Redalyc - Analítica de grafos para identificar entidades relevantes y comunidades en Mercado Libre: un estudio de caso - Portal AmeliCA, fecha de acceso: marzo 25, 2026, </w:t>
      </w:r>
      <w:hyperlink r:id="rId74">
        <w:r>
          <w:rPr>
            <w:color w:val="0000EE"/>
            <w:sz w:val="24"/>
            <w:szCs w:val="24"/>
            <w:u w:val="single"/>
          </w:rPr>
          <w:t>https://portal.amelica.org/ameli/journal/193/1933515007/</w:t>
        </w:r>
      </w:hyperlink>
    </w:p>
    <w:p w14:paraId="5361B10D"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Poster Session Abstracts - THE RISE AI - Lucy Family Institute for Data &amp; Society, fecha de acceso: marzo 25, 2026, </w:t>
      </w:r>
      <w:hyperlink r:id="rId75">
        <w:r w:rsidRPr="00154023">
          <w:rPr>
            <w:color w:val="0000EE"/>
            <w:sz w:val="24"/>
            <w:szCs w:val="24"/>
            <w:u w:val="single"/>
            <w:lang w:val="en-US"/>
          </w:rPr>
          <w:t>https://lucyinstitute.nd.edu/wp-content/uploads/2025/09/RISE-AI-Poster-Session-Abstracts_v9262025.pdf</w:t>
        </w:r>
      </w:hyperlink>
    </w:p>
    <w:p w14:paraId="65D22BFE"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Risk Bulletin: Data Poisoning Attacks Are an Emerging Cyber Threat - Gallagher, fecha de acceso: marzo 25, 2026, </w:t>
      </w:r>
      <w:hyperlink r:id="rId76">
        <w:r w:rsidRPr="00154023">
          <w:rPr>
            <w:color w:val="0000EE"/>
            <w:sz w:val="24"/>
            <w:szCs w:val="24"/>
            <w:u w:val="single"/>
            <w:lang w:val="en-US"/>
          </w:rPr>
          <w:t>https://www.ajg.com/news-and-insights/data-poisoning-attacks-an-emerging-cyber-threat/</w:t>
        </w:r>
      </w:hyperlink>
    </w:p>
    <w:p w14:paraId="4AEE9B2B" w14:textId="77777777" w:rsidR="003C337A" w:rsidRDefault="00000000">
      <w:pPr>
        <w:numPr>
          <w:ilvl w:val="0"/>
          <w:numId w:val="2"/>
        </w:numPr>
        <w:pBdr>
          <w:top w:val="nil"/>
          <w:left w:val="nil"/>
          <w:bottom w:val="nil"/>
          <w:right w:val="nil"/>
          <w:between w:val="nil"/>
        </w:pBdr>
      </w:pPr>
      <w:r>
        <w:rPr>
          <w:sz w:val="24"/>
          <w:szCs w:val="24"/>
        </w:rPr>
        <w:t xml:space="preserve">¿Qué es la cadena de custodia digital y por qué necesitas conocerla? - LISA Institute, fecha de acceso: marzo 25, 2026, </w:t>
      </w:r>
      <w:hyperlink r:id="rId77">
        <w:r>
          <w:rPr>
            <w:color w:val="0000EE"/>
            <w:sz w:val="24"/>
            <w:szCs w:val="24"/>
            <w:u w:val="single"/>
          </w:rPr>
          <w:t>https://www.lisainstitute.com/blogs/blog/cadena-de-custodia-digital-pruebas</w:t>
        </w:r>
      </w:hyperlink>
    </w:p>
    <w:p w14:paraId="3EC3B00A" w14:textId="77777777" w:rsidR="003C337A" w:rsidRDefault="00000000">
      <w:pPr>
        <w:numPr>
          <w:ilvl w:val="0"/>
          <w:numId w:val="2"/>
        </w:numPr>
        <w:pBdr>
          <w:top w:val="nil"/>
          <w:left w:val="nil"/>
          <w:bottom w:val="nil"/>
          <w:right w:val="nil"/>
          <w:between w:val="nil"/>
        </w:pBdr>
      </w:pPr>
      <w:r>
        <w:rPr>
          <w:sz w:val="24"/>
          <w:szCs w:val="24"/>
        </w:rPr>
        <w:t xml:space="preserve">(PDF) La cadena de custodia en la producción de la prueba digital - ResearchGate, fecha de acceso: marzo 25, 2026, </w:t>
      </w:r>
      <w:hyperlink r:id="rId78">
        <w:r>
          <w:rPr>
            <w:color w:val="0000EE"/>
            <w:sz w:val="24"/>
            <w:szCs w:val="24"/>
            <w:u w:val="single"/>
          </w:rPr>
          <w:t>https://www.researchgate.net/publication/395508564_La_cadena_de_custodia_en_la_produccion_de_la_prueba_digital</w:t>
        </w:r>
      </w:hyperlink>
    </w:p>
    <w:p w14:paraId="74454D4A"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The Minnesota Protocol on the Investigation of Potentially Unlawful Death (2016) - ohchr, fecha de acceso: marzo 25, 2026, </w:t>
      </w:r>
      <w:hyperlink r:id="rId79">
        <w:r w:rsidRPr="00154023">
          <w:rPr>
            <w:color w:val="0000EE"/>
            <w:sz w:val="24"/>
            <w:szCs w:val="24"/>
            <w:u w:val="single"/>
            <w:lang w:val="en-US"/>
          </w:rPr>
          <w:t>https://www.ohchr.org/Documents/Publications/MinnesotaProtocol.pdf</w:t>
        </w:r>
      </w:hyperlink>
    </w:p>
    <w:p w14:paraId="21B31209"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Office of High Commissioner Launches Revised Guidelines for Investigating Unlawful Killings - Center for Global Law and Justice, fecha de acceso: marzo 25, 2026, </w:t>
      </w:r>
      <w:hyperlink r:id="rId80">
        <w:r w:rsidRPr="00154023">
          <w:rPr>
            <w:color w:val="0000EE"/>
            <w:sz w:val="24"/>
            <w:szCs w:val="24"/>
            <w:u w:val="single"/>
            <w:lang w:val="en-US"/>
          </w:rPr>
          <w:t>https://cglj.org/2017/06/05/office-of-high-commissioner-launches-revised-guidelines-for-investigating-unlawful-killings/</w:t>
        </w:r>
      </w:hyperlink>
    </w:p>
    <w:p w14:paraId="6DC7AA60"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Situation of Human Rights in Brazil - OAS, fecha de acceso: marzo 25, 2026, </w:t>
      </w:r>
      <w:hyperlink r:id="rId81">
        <w:r w:rsidRPr="00154023">
          <w:rPr>
            <w:color w:val="0000EE"/>
            <w:sz w:val="24"/>
            <w:szCs w:val="24"/>
            <w:u w:val="single"/>
            <w:lang w:val="en-US"/>
          </w:rPr>
          <w:t>http://www.oas.org/en/iachr/reports/pdfs/brasil2021-en.pdf</w:t>
        </w:r>
      </w:hyperlink>
    </w:p>
    <w:p w14:paraId="1FE00D2D"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Protocol for an Effective Response to Threats Against Human Rights Defenders and Human Rights - Protocolo de la Esperanza, fecha de acceso: marzo 25, 2026, </w:t>
      </w:r>
      <w:hyperlink r:id="rId82">
        <w:r w:rsidRPr="00154023">
          <w:rPr>
            <w:color w:val="0000EE"/>
            <w:sz w:val="24"/>
            <w:szCs w:val="24"/>
            <w:u w:val="single"/>
            <w:lang w:val="en-US"/>
          </w:rPr>
          <w:t>https://esperanzaprotocol.net/wp-content/uploads/2025/05/PLE-Digital-Ingles.pdf</w:t>
        </w:r>
      </w:hyperlink>
    </w:p>
    <w:p w14:paraId="71664B31" w14:textId="77777777" w:rsidR="003C337A" w:rsidRDefault="00000000">
      <w:pPr>
        <w:numPr>
          <w:ilvl w:val="0"/>
          <w:numId w:val="2"/>
        </w:numPr>
        <w:pBdr>
          <w:top w:val="nil"/>
          <w:left w:val="nil"/>
          <w:bottom w:val="nil"/>
          <w:right w:val="nil"/>
          <w:between w:val="nil"/>
        </w:pBdr>
      </w:pPr>
      <w:r>
        <w:rPr>
          <w:sz w:val="24"/>
          <w:szCs w:val="24"/>
        </w:rPr>
        <w:t xml:space="preserve">de La esPeRanza - Squarespace, fecha de acceso: marzo 25, 2026, </w:t>
      </w:r>
      <w:hyperlink r:id="rId83">
        <w:r>
          <w:rPr>
            <w:color w:val="0000EE"/>
            <w:sz w:val="24"/>
            <w:szCs w:val="24"/>
            <w:u w:val="single"/>
          </w:rPr>
          <w:t>https://static1.squarespace.com/static/6010939e11c3656045daf9c1/t/672f4646fdfc623ac5eeee73/1731151442119/Protocolo+de+la+Esperanza+%282021%29.pdf</w:t>
        </w:r>
      </w:hyperlink>
    </w:p>
    <w:p w14:paraId="7C5F7A74" w14:textId="77777777" w:rsidR="003C337A" w:rsidRDefault="00000000">
      <w:pPr>
        <w:numPr>
          <w:ilvl w:val="0"/>
          <w:numId w:val="2"/>
        </w:numPr>
        <w:pBdr>
          <w:top w:val="nil"/>
          <w:left w:val="nil"/>
          <w:bottom w:val="nil"/>
          <w:right w:val="nil"/>
          <w:between w:val="nil"/>
        </w:pBdr>
      </w:pPr>
      <w:r>
        <w:rPr>
          <w:sz w:val="24"/>
          <w:szCs w:val="24"/>
        </w:rPr>
        <w:t xml:space="preserve">La dimensión tecnológica de la cadena de custodia: algunas claves - InDret, fecha de acceso: marzo 25, 2026, </w:t>
      </w:r>
      <w:hyperlink r:id="rId84">
        <w:r>
          <w:rPr>
            <w:color w:val="0000EE"/>
            <w:sz w:val="24"/>
            <w:szCs w:val="24"/>
            <w:u w:val="single"/>
          </w:rPr>
          <w:t>https://indret.com/wp-content/uploads/2025/04/1926.pdf</w:t>
        </w:r>
      </w:hyperlink>
    </w:p>
    <w:p w14:paraId="75E9A475" w14:textId="77777777" w:rsidR="003C337A" w:rsidRDefault="00000000">
      <w:pPr>
        <w:numPr>
          <w:ilvl w:val="0"/>
          <w:numId w:val="2"/>
        </w:numPr>
        <w:pBdr>
          <w:top w:val="nil"/>
          <w:left w:val="nil"/>
          <w:bottom w:val="nil"/>
          <w:right w:val="nil"/>
          <w:between w:val="nil"/>
        </w:pBdr>
      </w:pPr>
      <w:r>
        <w:rPr>
          <w:sz w:val="24"/>
          <w:szCs w:val="24"/>
        </w:rPr>
        <w:t xml:space="preserve">PLAN DE PRESERVACIÓN DIGITAL A LARGO PLAZO - Datos Abiertos Bogotá, fecha de acceso: marzo 25, 2026, </w:t>
      </w:r>
      <w:hyperlink r:id="rId85">
        <w:r>
          <w:rPr>
            <w:color w:val="0000EE"/>
            <w:sz w:val="24"/>
            <w:szCs w:val="24"/>
            <w:u w:val="single"/>
          </w:rPr>
          <w:t>https://datosabiertos.bogota.gov.co/dataset/caf9208d-8444-465a-a322-</w:t>
        </w:r>
        <w:r>
          <w:rPr>
            <w:color w:val="0000EE"/>
            <w:sz w:val="24"/>
            <w:szCs w:val="24"/>
            <w:u w:val="single"/>
          </w:rPr>
          <w:lastRenderedPageBreak/>
          <w:t>1c30ab7a2f31/resource/5ad19f9f-20c2-44c0-98ea-d522ee7154a8/download/20251212_planpreservaciondigital-fuga-1.pdf</w:t>
        </w:r>
      </w:hyperlink>
    </w:p>
    <w:p w14:paraId="1F570123" w14:textId="77777777" w:rsidR="003C337A" w:rsidRDefault="00000000">
      <w:pPr>
        <w:numPr>
          <w:ilvl w:val="0"/>
          <w:numId w:val="2"/>
        </w:numPr>
        <w:pBdr>
          <w:top w:val="nil"/>
          <w:left w:val="nil"/>
          <w:bottom w:val="nil"/>
          <w:right w:val="nil"/>
          <w:between w:val="nil"/>
        </w:pBdr>
      </w:pPr>
      <w:r>
        <w:rPr>
          <w:sz w:val="24"/>
          <w:szCs w:val="24"/>
        </w:rPr>
        <w:t xml:space="preserve">PRESERVING OUR DIGITAL HERITAGE, fecha de acceso: marzo 25, 2026, </w:t>
      </w:r>
      <w:hyperlink r:id="rId86">
        <w:r>
          <w:rPr>
            <w:color w:val="0000EE"/>
            <w:sz w:val="24"/>
            <w:szCs w:val="24"/>
            <w:u w:val="single"/>
          </w:rPr>
          <w:t>https://www.digitalpreservation.gov/multimedia/documents/ndiipp_appendix.pdf</w:t>
        </w:r>
      </w:hyperlink>
    </w:p>
    <w:p w14:paraId="67D34D17"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Preserving Human Rights Media for Justice, Accountability, and Historical Clarification - Digital Commons @ USF - University of South Florida, fecha de acceso: marzo 25, 2026, </w:t>
      </w:r>
      <w:hyperlink r:id="rId87">
        <w:r w:rsidRPr="00154023">
          <w:rPr>
            <w:color w:val="0000EE"/>
            <w:sz w:val="24"/>
            <w:szCs w:val="24"/>
            <w:u w:val="single"/>
            <w:lang w:val="en-US"/>
          </w:rPr>
          <w:t>https://digitalcommons.usf.edu/cgi/viewcontent.cgi?article=1441&amp;context=gsp</w:t>
        </w:r>
      </w:hyperlink>
    </w:p>
    <w:p w14:paraId="30416018" w14:textId="77777777" w:rsidR="003C337A" w:rsidRDefault="00000000">
      <w:pPr>
        <w:numPr>
          <w:ilvl w:val="0"/>
          <w:numId w:val="2"/>
        </w:numPr>
        <w:pBdr>
          <w:top w:val="nil"/>
          <w:left w:val="nil"/>
          <w:bottom w:val="nil"/>
          <w:right w:val="nil"/>
          <w:between w:val="nil"/>
        </w:pBdr>
      </w:pPr>
      <w:r>
        <w:rPr>
          <w:sz w:val="24"/>
          <w:szCs w:val="24"/>
        </w:rPr>
        <w:t xml:space="preserve">Cadena de custodia 2.0 - Revista Ciencias INACIPE, fecha de acceso: marzo 25, 2026, </w:t>
      </w:r>
      <w:hyperlink r:id="rId88">
        <w:r>
          <w:rPr>
            <w:color w:val="0000EE"/>
            <w:sz w:val="24"/>
            <w:szCs w:val="24"/>
            <w:u w:val="single"/>
          </w:rPr>
          <w:t>https://revistacienciasinacipe.fgr.org.mx/index.php/02/article/view/574/574</w:t>
        </w:r>
      </w:hyperlink>
    </w:p>
    <w:p w14:paraId="57105268" w14:textId="77777777" w:rsidR="003C337A" w:rsidRDefault="00000000">
      <w:pPr>
        <w:numPr>
          <w:ilvl w:val="0"/>
          <w:numId w:val="2"/>
        </w:numPr>
        <w:pBdr>
          <w:top w:val="nil"/>
          <w:left w:val="nil"/>
          <w:bottom w:val="nil"/>
          <w:right w:val="nil"/>
          <w:between w:val="nil"/>
        </w:pBdr>
      </w:pPr>
      <w:r>
        <w:rPr>
          <w:sz w:val="24"/>
          <w:szCs w:val="24"/>
        </w:rPr>
        <w:t xml:space="preserve">La configuración de la cadena de custodia tecnológica en el ordenamiento jurídico español, fecha de acceso: marzo 25, 2026, </w:t>
      </w:r>
      <w:hyperlink r:id="rId89">
        <w:r>
          <w:rPr>
            <w:color w:val="0000EE"/>
            <w:sz w:val="24"/>
            <w:szCs w:val="24"/>
            <w:u w:val="single"/>
          </w:rPr>
          <w:t>https://revistascientificas.us.es/index.php/ies/article/download/26863/23998?inline=1</w:t>
        </w:r>
      </w:hyperlink>
    </w:p>
    <w:p w14:paraId="283649E2" w14:textId="77777777" w:rsidR="003C337A" w:rsidRPr="00154023" w:rsidRDefault="00000000">
      <w:pPr>
        <w:numPr>
          <w:ilvl w:val="0"/>
          <w:numId w:val="2"/>
        </w:numPr>
        <w:pBdr>
          <w:top w:val="nil"/>
          <w:left w:val="nil"/>
          <w:bottom w:val="nil"/>
          <w:right w:val="nil"/>
          <w:between w:val="nil"/>
        </w:pBdr>
        <w:rPr>
          <w:lang w:val="en-US"/>
        </w:rPr>
      </w:pPr>
      <w:r w:rsidRPr="00154023">
        <w:rPr>
          <w:sz w:val="24"/>
          <w:szCs w:val="24"/>
          <w:lang w:val="en-US"/>
        </w:rPr>
        <w:t xml:space="preserve">Archives and Algorithms: The Plancondor.org Experience and the Human Rights Potential of New Technologies | International Journal of Transitional Justice | Oxford Academic, fecha de acceso: marzo 25, 2026, </w:t>
      </w:r>
      <w:hyperlink r:id="rId90">
        <w:r w:rsidRPr="00154023">
          <w:rPr>
            <w:color w:val="0000EE"/>
            <w:sz w:val="24"/>
            <w:szCs w:val="24"/>
            <w:u w:val="single"/>
            <w:lang w:val="en-US"/>
          </w:rPr>
          <w:t>https://academic.oup.com/ijtj/advance-article/doi/10.1093/ijtj/ijaf023/8424071</w:t>
        </w:r>
      </w:hyperlink>
    </w:p>
    <w:sectPr w:rsidR="003C337A" w:rsidRPr="0015402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AEA5C0-2B06-49C2-AE38-FD5EA2A56885}"/>
  </w:font>
  <w:font w:name="Calibri">
    <w:panose1 w:val="020F0502020204030204"/>
    <w:charset w:val="00"/>
    <w:family w:val="swiss"/>
    <w:pitch w:val="variable"/>
    <w:sig w:usb0="E4002EFF" w:usb1="C200247B" w:usb2="00000009" w:usb3="00000000" w:csb0="000001FF" w:csb1="00000000"/>
    <w:embedRegular r:id="rId2" w:fontKey="{E85AF2B7-1082-4D1B-826A-079D822177E6}"/>
  </w:font>
  <w:font w:name="Cambria">
    <w:panose1 w:val="02040503050406030204"/>
    <w:charset w:val="00"/>
    <w:family w:val="roman"/>
    <w:pitch w:val="variable"/>
    <w:sig w:usb0="E00006FF" w:usb1="420024FF" w:usb2="02000000" w:usb3="00000000" w:csb0="0000019F" w:csb1="00000000"/>
    <w:embedRegular r:id="rId3" w:fontKey="{46CCC9DF-810F-4B04-A4B5-6591EA79FF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12EDA"/>
    <w:multiLevelType w:val="multilevel"/>
    <w:tmpl w:val="5BDA404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6042734"/>
    <w:multiLevelType w:val="multilevel"/>
    <w:tmpl w:val="5994F8B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46589226">
    <w:abstractNumId w:val="1"/>
  </w:num>
  <w:num w:numId="2" w16cid:durableId="201911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37A"/>
    <w:rsid w:val="00135172"/>
    <w:rsid w:val="00154023"/>
    <w:rsid w:val="003C337A"/>
    <w:rsid w:val="00BE313B"/>
    <w:rsid w:val="00D66E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EFFE"/>
  <w15:docId w15:val="{849B11DC-79F9-4F28-AF48-D7E3F491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ialnet.unirioja.es/descarga/articulo/10351248.pdf" TargetMode="External"/><Relationship Id="rId21" Type="http://schemas.openxmlformats.org/officeDocument/2006/relationships/hyperlink" Target="https://repositorio.unal.edu.co/bitstreams/4c0f2ebb-a00c-4fd1-89a8-f4aea6aa30cf/download" TargetMode="External"/><Relationship Id="rId42" Type="http://schemas.openxmlformats.org/officeDocument/2006/relationships/hyperlink" Target="https://accesoalajusticia.poder-judicial.go.cr/index.php/cuadernillos-de-jurisprudencia-normativa?download=1724:cuadernillo6-desaparicion-forzada" TargetMode="External"/><Relationship Id="rId47" Type="http://schemas.openxmlformats.org/officeDocument/2006/relationships/hyperlink" Target="https://archivos.juridicas.unam.mx/www/bjv/libros/10/4572/13.pdf" TargetMode="External"/><Relationship Id="rId63" Type="http://schemas.openxmlformats.org/officeDocument/2006/relationships/hyperlink" Target="https://repositorio.humanidadvigente.net/wp-content/uploads/2024/06/Auto033-12ebrero2021.pdf" TargetMode="External"/><Relationship Id="rId68" Type="http://schemas.openxmlformats.org/officeDocument/2006/relationships/hyperlink" Target="https://hrdag.org/CEV-JEP/20250306-methodological-report-EN.pdf" TargetMode="External"/><Relationship Id="rId84" Type="http://schemas.openxmlformats.org/officeDocument/2006/relationships/hyperlink" Target="https://indret.com/wp-content/uploads/2025/04/1926.pdf" TargetMode="External"/><Relationship Id="rId89" Type="http://schemas.openxmlformats.org/officeDocument/2006/relationships/hyperlink" Target="https://revistascientificas.us.es/index.php/ies/article/download/26863/23998?inline=1" TargetMode="External"/><Relationship Id="rId16" Type="http://schemas.openxmlformats.org/officeDocument/2006/relationships/hyperlink" Target="https://academic.oup.com/hrlr/article/21/4/874/6327498" TargetMode="External"/><Relationship Id="rId11" Type="http://schemas.openxmlformats.org/officeDocument/2006/relationships/hyperlink" Target="https://www.globalgovernance.eu/publications/justice-ready-digital-public-infrastructure-building-a-third-layer-of-trust-for-democratic-resilience" TargetMode="External"/><Relationship Id="rId32" Type="http://schemas.openxmlformats.org/officeDocument/2006/relationships/hyperlink" Target="https://repositorio.unal.edu.co/bitstreams/7ea4606b-2df9-44f5-89e8-5c71846e0003/download" TargetMode="External"/><Relationship Id="rId37" Type="http://schemas.openxmlformats.org/officeDocument/2006/relationships/hyperlink" Target="https://www.coljuristas.org/observatorio_jep/documentos/documento.php?lan=en&amp;id=207" TargetMode="External"/><Relationship Id="rId53" Type="http://schemas.openxmlformats.org/officeDocument/2006/relationships/hyperlink" Target="https://www.archivogeneral.gov.co/sites/default/files/Estructura_Web/5_Consulte/Recursos/Publicacionees/GuiaDeMetadatos.pdf" TargetMode="External"/><Relationship Id="rId58" Type="http://schemas.openxmlformats.org/officeDocument/2006/relationships/hyperlink" Target="https://huridocs.org/2025/09/uwazi-ai-powered-metadata-extractor-a-game-changer-for-human-rights-documentation/" TargetMode="External"/><Relationship Id="rId74" Type="http://schemas.openxmlformats.org/officeDocument/2006/relationships/hyperlink" Target="https://portal.amelica.org/ameli/journal/193/1933515007/" TargetMode="External"/><Relationship Id="rId79" Type="http://schemas.openxmlformats.org/officeDocument/2006/relationships/hyperlink" Target="https://www.ohchr.org/Documents/Publications/MinnesotaProtocol.pdf" TargetMode="External"/><Relationship Id="rId5" Type="http://schemas.openxmlformats.org/officeDocument/2006/relationships/hyperlink" Target="http://www.scielo.org.co/scielo.php?script=sci_arttext&amp;pid=S1692-25302025000204824" TargetMode="External"/><Relationship Id="rId90" Type="http://schemas.openxmlformats.org/officeDocument/2006/relationships/hyperlink" Target="https://academic.oup.com/ijtj/advance-article/doi/10.1093/ijtj/ijaf023/8424071" TargetMode="External"/><Relationship Id="rId14" Type="http://schemas.openxmlformats.org/officeDocument/2006/relationships/hyperlink" Target="https://www.ictj.org/sites/default/files/ICTJ-Colombia-Unofficial-memory-initiatives-July2009-Spanish.pdf" TargetMode="External"/><Relationship Id="rId22" Type="http://schemas.openxmlformats.org/officeDocument/2006/relationships/hyperlink" Target="https://rutasdelconflicto.com/documentos/Oriente_Antioquia/Auto_SRVR-033_12-febrero-2021.pdf" TargetMode="External"/><Relationship Id="rId27" Type="http://schemas.openxmlformats.org/officeDocument/2006/relationships/hyperlink" Target="https://www.banrepcultural.org/noticias/el-arte-se-toma-la-palabra" TargetMode="External"/><Relationship Id="rId30" Type="http://schemas.openxmlformats.org/officeDocument/2006/relationships/hyperlink" Target="http://www.scielo.org.co/scielo.php?script=sci_arttext&amp;pid=S1900-54072025000300161" TargetMode="External"/><Relationship Id="rId35" Type="http://schemas.openxmlformats.org/officeDocument/2006/relationships/hyperlink" Target="https://centrodememoriahistorica.gov.co/wp-content/uploads/2024/11/Estallido%20social%20vol%202%20digital%2020-11-2024.pdf" TargetMode="External"/><Relationship Id="rId43" Type="http://schemas.openxmlformats.org/officeDocument/2006/relationships/hyperlink" Target="https://www.alcaldiabogota.gov.co/sisjur/normas/Norma1.jsp?i=178477&amp;dt=S" TargetMode="External"/><Relationship Id="rId48" Type="http://schemas.openxmlformats.org/officeDocument/2006/relationships/hyperlink" Target="https://digitalcommons.wcl.american.edu/cgi/viewcontent.cgi?article=1905&amp;context=auilr" TargetMode="External"/><Relationship Id="rId56" Type="http://schemas.openxmlformats.org/officeDocument/2006/relationships/hyperlink" Target="https://huridocs.org/wp-content/uploads/2020/11/HURIDOCS_ESF_English1.pdf" TargetMode="External"/><Relationship Id="rId64" Type="http://schemas.openxmlformats.org/officeDocument/2006/relationships/hyperlink" Target="https://www.researchgate.net/publication/338781898_Como_debemos_entender_el_concepto_de_patron_de_violencia_politica_repertorio_objetivo_frecuencia_y_tecnica" TargetMode="External"/><Relationship Id="rId69" Type="http://schemas.openxmlformats.org/officeDocument/2006/relationships/hyperlink" Target="https://hrdag.org/CEV-JEP/20250306-methodological-report-ES.pdf" TargetMode="External"/><Relationship Id="rId77" Type="http://schemas.openxmlformats.org/officeDocument/2006/relationships/hyperlink" Target="https://www.lisainstitute.com/blogs/blog/cadena-de-custodia-digital-pruebas" TargetMode="External"/><Relationship Id="rId8" Type="http://schemas.openxmlformats.org/officeDocument/2006/relationships/hyperlink" Target="https://digitalcommons.wcl.american.edu/cgi/viewcontent.cgi?article=2721&amp;context=facsch_lawrev" TargetMode="External"/><Relationship Id="rId51" Type="http://schemas.openxmlformats.org/officeDocument/2006/relationships/hyperlink" Target="https://archivos.juridicas.unam.mx/www/bjv/libros/5/2454/8.pdf" TargetMode="External"/><Relationship Id="rId72" Type="http://schemas.openxmlformats.org/officeDocument/2006/relationships/hyperlink" Target="https://www.risti.xyz/issues/ristie77.pdf" TargetMode="External"/><Relationship Id="rId80" Type="http://schemas.openxmlformats.org/officeDocument/2006/relationships/hyperlink" Target="https://cglj.org/2017/06/05/office-of-high-commissioner-launches-revised-guidelines-for-investigating-unlawful-killings/" TargetMode="External"/><Relationship Id="rId85" Type="http://schemas.openxmlformats.org/officeDocument/2006/relationships/hyperlink" Target="https://datosabiertos.bogota.gov.co/dataset/caf9208d-8444-465a-a322-1c30ab7a2f31/resource/5ad19f9f-20c2-44c0-98ea-d522ee7154a8/download/20251212_planpreservaciondigital-fuga-1.pdf" TargetMode="External"/><Relationship Id="rId3" Type="http://schemas.openxmlformats.org/officeDocument/2006/relationships/settings" Target="settings.xml"/><Relationship Id="rId12" Type="http://schemas.openxmlformats.org/officeDocument/2006/relationships/hyperlink" Target="https://quantil.co/en/blog/victimas-invisibles-la-estimacion-del-subregistro-en-el-conflicto-armado/" TargetMode="External"/><Relationship Id="rId17" Type="http://schemas.openxmlformats.org/officeDocument/2006/relationships/hyperlink" Target="https://www.oas.org/en/iachr/reports/pdfs/compendiumtransitionaljustice.pdf" TargetMode="External"/><Relationship Id="rId25" Type="http://schemas.openxmlformats.org/officeDocument/2006/relationships/hyperlink" Target="https://repositorio.uam.es/bitstreams/38ea14f2-5b11-4dbf-99d9-9fb5eadd1f57/download" TargetMode="External"/><Relationship Id="rId33" Type="http://schemas.openxmlformats.org/officeDocument/2006/relationships/hyperlink" Target="https://dialnet.unirioja.es/descarga/articulo/10136695.pdf" TargetMode="External"/><Relationship Id="rId38" Type="http://schemas.openxmlformats.org/officeDocument/2006/relationships/hyperlink" Target="https://sur.conectas.org/es/la-actividad-probatoria-ante-la-corte-interamericana-de-derechos-humanos/" TargetMode="External"/><Relationship Id="rId46" Type="http://schemas.openxmlformats.org/officeDocument/2006/relationships/hyperlink" Target="https://hrlibrary.umn.edu/iachr/C/251-ing.html" TargetMode="External"/><Relationship Id="rId59" Type="http://schemas.openxmlformats.org/officeDocument/2006/relationships/hyperlink" Target="https://www.ibm.com/es-es/think/topics/metadata-management" TargetMode="External"/><Relationship Id="rId67" Type="http://schemas.openxmlformats.org/officeDocument/2006/relationships/hyperlink" Target="https://www.comisiondelaverdad.co/sites/default/files/2023-05/Metodologia%20Investigacion_Ingles.pdf" TargetMode="External"/><Relationship Id="rId20" Type="http://schemas.openxmlformats.org/officeDocument/2006/relationships/hyperlink" Target="https://www.cinep.org.co/wp-content/uploads/2022/04/VF-Noveno-Informe-General-CINEP-CERAC.pdf" TargetMode="External"/><Relationship Id="rId41" Type="http://schemas.openxmlformats.org/officeDocument/2006/relationships/hyperlink" Target="https://www.redalyc.org/journal/5857/585782152015/html/" TargetMode="External"/><Relationship Id="rId54" Type="http://schemas.openxmlformats.org/officeDocument/2006/relationships/hyperlink" Target="https://openaccess.uoc.edu/bitstream/10609/150303/8/Metadatos.pdf" TargetMode="External"/><Relationship Id="rId62" Type="http://schemas.openxmlformats.org/officeDocument/2006/relationships/hyperlink" Target="https://labordoc.ilo.org/discovery/fulldisplay/alma993090263402676/41ILO_INST:41ILO_V1" TargetMode="External"/><Relationship Id="rId70" Type="http://schemas.openxmlformats.org/officeDocument/2006/relationships/hyperlink" Target="https://labs.oracle.com/pls/apex/r/labs/labs/publications?session=736906902885" TargetMode="External"/><Relationship Id="rId75" Type="http://schemas.openxmlformats.org/officeDocument/2006/relationships/hyperlink" Target="https://lucyinstitute.nd.edu/wp-content/uploads/2025/09/RISE-AI-Poster-Session-Abstracts_v9262025.pdf" TargetMode="External"/><Relationship Id="rId83" Type="http://schemas.openxmlformats.org/officeDocument/2006/relationships/hyperlink" Target="https://static1.squarespace.com/static/6010939e11c3656045daf9c1/t/672f4646fdfc623ac5eeee73/1731151442119/Protocolo+de+la+Esperanza+%282021%29.pdf" TargetMode="External"/><Relationship Id="rId88" Type="http://schemas.openxmlformats.org/officeDocument/2006/relationships/hyperlink" Target="https://revistacienciasinacipe.fgr.org.mx/index.php/02/article/view/574/574"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ialnet.unirioja.es/descarga/articulo/9651638.pdf" TargetMode="External"/><Relationship Id="rId15" Type="http://schemas.openxmlformats.org/officeDocument/2006/relationships/hyperlink" Target="https://repositorio.unal.edu.co/bitstreams/15cf0521-1302-4d52-a5d9-1c6bc4a71d97/download" TargetMode="External"/><Relationship Id="rId23" Type="http://schemas.openxmlformats.org/officeDocument/2006/relationships/hyperlink" Target="https://osf.io/download/p87aw" TargetMode="External"/><Relationship Id="rId28" Type="http://schemas.openxmlformats.org/officeDocument/2006/relationships/hyperlink" Target="https://centrodememoriahistorica.gov.co/mujeres-con-las-botas-bien-puestas-las-madres-de-soacha-quieren-contarle-al-mundo-su-lucha-contra-la-impunidad/" TargetMode="External"/><Relationship Id="rId36" Type="http://schemas.openxmlformats.org/officeDocument/2006/relationships/hyperlink" Target="https://upload.wikimedia.org/wikipedia/commons/f/f3/Informe_Final_Comisi%C3%B3n_de_la_Verdad_-_Cap%C3%ADtulo_territorial_-_Din%C3%A1micas_urbanas_de_la_guerra.pdf" TargetMode="External"/><Relationship Id="rId49" Type="http://schemas.openxmlformats.org/officeDocument/2006/relationships/hyperlink" Target="https://corteidh.scjn.gob.mx/buscador/doc?doc=casos_sentencias/363_Caso+Isaza+UribevsColombia_FondoReparacionesCostas.html" TargetMode="External"/><Relationship Id="rId57" Type="http://schemas.openxmlformats.org/officeDocument/2006/relationships/hyperlink" Target="https://huridocs.org/wp-content/uploads/2023/03/Uwazi-Find-what-matters-2022.pdf" TargetMode="External"/><Relationship Id="rId10" Type="http://schemas.openxmlformats.org/officeDocument/2006/relationships/hyperlink" Target="https://iberoforum.ibero.mx/index.php/iberoforum/article/download/149/443/1387" TargetMode="External"/><Relationship Id="rId31" Type="http://schemas.openxmlformats.org/officeDocument/2006/relationships/hyperlink" Target="https://www.icmp.int/wp-content/uploads/2008/10/icmp-cos-110-3-doc.pdf" TargetMode="External"/><Relationship Id="rId44" Type="http://schemas.openxmlformats.org/officeDocument/2006/relationships/hyperlink" Target="https://corteidh.scjn.gob.mx/buscador/doc?doc=casos_sentencias/CasoValleJaramilloOtrosVsColombia_FondoReparacionesCostas.htm" TargetMode="External"/><Relationship Id="rId52" Type="http://schemas.openxmlformats.org/officeDocument/2006/relationships/hyperlink" Target="https://cejil.org/wp-content/uploads/pdfs/protection_of_the_right_to_freedom_of_expression_0.pdf" TargetMode="External"/><Relationship Id="rId60" Type="http://schemas.openxmlformats.org/officeDocument/2006/relationships/hyperlink" Target="https://paquete-apertura-datos.readthedocs.io/es/0.1.1/guia_metadatos.html" TargetMode="External"/><Relationship Id="rId65" Type="http://schemas.openxmlformats.org/officeDocument/2006/relationships/hyperlink" Target="https://centrodememoriahistorica.gov.co/" TargetMode="External"/><Relationship Id="rId73" Type="http://schemas.openxmlformats.org/officeDocument/2006/relationships/hyperlink" Target="https://dsi.brown.edu/events/past-events" TargetMode="External"/><Relationship Id="rId78" Type="http://schemas.openxmlformats.org/officeDocument/2006/relationships/hyperlink" Target="https://www.researchgate.net/publication/395508564_La_cadena_de_custodia_en_la_produccion_de_la_prueba_digital" TargetMode="External"/><Relationship Id="rId81" Type="http://schemas.openxmlformats.org/officeDocument/2006/relationships/hyperlink" Target="http://www.oas.org/en/iachr/reports/pdfs/brasil2021-en.pdf" TargetMode="External"/><Relationship Id="rId86" Type="http://schemas.openxmlformats.org/officeDocument/2006/relationships/hyperlink" Target="https://www.digitalpreservation.gov/multimedia/documents/ndiipp_appendix.pdf" TargetMode="External"/><Relationship Id="rId4" Type="http://schemas.openxmlformats.org/officeDocument/2006/relationships/webSettings" Target="webSettings.xml"/><Relationship Id="rId9" Type="http://schemas.openxmlformats.org/officeDocument/2006/relationships/hyperlink" Target="https://centrodememoriahistorica.gov.co/archivo-del-conflicto-armado-interno-en-custodia-del-cnmh-reconocidos-por-unesco/" TargetMode="External"/><Relationship Id="rId13" Type="http://schemas.openxmlformats.org/officeDocument/2006/relationships/hyperlink" Target="https://multiversojournal.org/index.php/multiverso/article/view/73/269" TargetMode="External"/><Relationship Id="rId18" Type="http://schemas.openxmlformats.org/officeDocument/2006/relationships/hyperlink" Target="https://www.oas.org/es/cidh/informes/pdfs/compendiojusticiatransicional-es.pdf" TargetMode="External"/><Relationship Id="rId39" Type="http://schemas.openxmlformats.org/officeDocument/2006/relationships/hyperlink" Target="https://www.corteconstitucional.gov.co/relatoria/2021/su060-21" TargetMode="External"/><Relationship Id="rId34" Type="http://schemas.openxmlformats.org/officeDocument/2006/relationships/hyperlink" Target="https://edizionicafoscari.unive.it/media/pdf/article/magazen/2024/2/art-10.30687-mag-2724-3923-2024-02-002.pdf" TargetMode="External"/><Relationship Id="rId50" Type="http://schemas.openxmlformats.org/officeDocument/2006/relationships/hyperlink" Target="https://brill.com/edcollchap/book/9789004530621/B9789004530621_s004.pdf" TargetMode="External"/><Relationship Id="rId55" Type="http://schemas.openxmlformats.org/officeDocument/2006/relationships/hyperlink" Target="https://huridocs.org/resource-library/monitoring-and-documenting-human-rights-violations/events-standard-formats/" TargetMode="External"/><Relationship Id="rId76" Type="http://schemas.openxmlformats.org/officeDocument/2006/relationships/hyperlink" Target="https://www.ajg.com/news-and-insights/data-poisoning-attacks-an-emerging-cyber-threat/" TargetMode="External"/><Relationship Id="rId7" Type="http://schemas.openxmlformats.org/officeDocument/2006/relationships/hyperlink" Target="https://revistas.uexternado.edu.co/index.php/derest/article/view/3605" TargetMode="External"/><Relationship Id="rId71" Type="http://schemas.openxmlformats.org/officeDocument/2006/relationships/hyperlink" Target="https://hrdag.org/report/20241210-deaths-in-custody.pdf"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es.scribd.com/document/405000806/karen-2-pdf" TargetMode="External"/><Relationship Id="rId24" Type="http://schemas.openxmlformats.org/officeDocument/2006/relationships/hyperlink" Target="https://www.youtube.com/watch?v=tcSv38M9sBw" TargetMode="External"/><Relationship Id="rId40" Type="http://schemas.openxmlformats.org/officeDocument/2006/relationships/hyperlink" Target="https://publicaciones.unaula.edu.co/index.php/ratiojuris/article/download/1639/2282?inline=1" TargetMode="External"/><Relationship Id="rId45" Type="http://schemas.openxmlformats.org/officeDocument/2006/relationships/hyperlink" Target="https://www.legal-tools.org/doc/a2f180/pdf/" TargetMode="External"/><Relationship Id="rId66" Type="http://schemas.openxmlformats.org/officeDocument/2006/relationships/hyperlink" Target="https://hrdag.org/2013/03/07/hrdags-record-de-duplication/" TargetMode="External"/><Relationship Id="rId87" Type="http://schemas.openxmlformats.org/officeDocument/2006/relationships/hyperlink" Target="https://digitalcommons.usf.edu/cgi/viewcontent.cgi?article=1441&amp;context=gsp" TargetMode="External"/><Relationship Id="rId61" Type="http://schemas.openxmlformats.org/officeDocument/2006/relationships/hyperlink" Target="http://www.progressivelibrariansguild.org/PL/PL26/033.pdf" TargetMode="External"/><Relationship Id="rId82" Type="http://schemas.openxmlformats.org/officeDocument/2006/relationships/hyperlink" Target="https://esperanzaprotocol.net/wp-content/uploads/2025/05/PLE-Digital-Ingles.pdf" TargetMode="External"/><Relationship Id="rId19" Type="http://schemas.openxmlformats.org/officeDocument/2006/relationships/hyperlink" Target="https://www.researchgate.net/publication/397558590_Arte_memoria_y_litigios_El_caso_de_la_exposicion_Mujeres_con_las_botas_bien_puestas_realizada_por_las_Madres_de_Falsos_Positivos_de_Soacha_MAFAP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20</Pages>
  <Words>9811</Words>
  <Characters>53965</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Mireya Camacho Celis</cp:lastModifiedBy>
  <cp:revision>4</cp:revision>
  <dcterms:created xsi:type="dcterms:W3CDTF">2026-03-26T15:15:00Z</dcterms:created>
  <dcterms:modified xsi:type="dcterms:W3CDTF">2026-03-27T19:59:00Z</dcterms:modified>
</cp:coreProperties>
</file>