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9AC97" w14:textId="77777777" w:rsidR="002B5502" w:rsidRDefault="00000000">
      <w:pPr>
        <w:pStyle w:val="Ttulo1"/>
        <w:spacing w:before="0" w:after="120" w:line="275" w:lineRule="auto"/>
        <w:rPr>
          <w:rFonts w:ascii="Google Sans" w:eastAsia="Google Sans" w:hAnsi="Google Sans" w:cs="Google Sans"/>
          <w:color w:val="1F1F1F"/>
        </w:rPr>
      </w:pPr>
      <w:r>
        <w:rPr>
          <w:rFonts w:ascii="Google Sans" w:eastAsia="Google Sans" w:hAnsi="Google Sans" w:cs="Google Sans"/>
          <w:color w:val="1F1F1F"/>
        </w:rPr>
        <w:t>Estado del arte del modelado de ecuaciones estructurales en el estudio del conflicto armado y variables latentes</w:t>
      </w:r>
    </w:p>
    <w:p w14:paraId="2B2EEA55"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La comprensión de los fenómenos sociales derivados de los conflictos armados ha evolucionado desde simples conteos de bajas y eventos bélicos hacia una arquitectura analítica que reconoce la multidimensionalidad de los impactos humanos y estructurales. El Modelado de Ecuaciones Estructurales (SEM, por sus siglas en inglés) se ha erigido como la herramienta metodológica predilecta en este campo, permitiendo a los investigadores capturar y analizar constructos que no son directamente observables, denominados variables latentes. Estos constructos, que incluyen desde el trauma psicosocial y la resiliencia hasta el capital social y la confianza institucional, son fundamentales para desentrañar la complejidad de la violencia sociopolítica y sus secuelas de largo aliento.</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El presente reporte técnico detalla el estado del arte de la aplicación de SEM en la investigación de conflictos armados, integrando dimensiones psicométricas, metodologías avanzadas de análisis multinivel y longitudinal, y las particularidades del contexto colombiano como referente global.</w:t>
      </w:r>
    </w:p>
    <w:p w14:paraId="41E091AD" w14:textId="77777777" w:rsidR="002B550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Fundamentos teóricos y la necesidad de variables latentes</w:t>
      </w:r>
    </w:p>
    <w:p w14:paraId="5F4168AC"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En el estudio de las exposiciones militares y el conflicto armado, la investigación ha transitado desde un enfoque puramente epidemiológico —centrado en cohortes expuestas a agentes tóxicos o eventos de combate— hacia una evaluación profunda de la salud mental y el tejido social.</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La limitación inherente de las medidas manifiestas es su incapacidad para capturar la totalidad de la experiencia humana; por ejemplo, el trastorno de estrés postraumático (TEPT) o la resiliencia no pueden medirse con una única pregunta, sino que se infieren a partir de un conjunto de síntomas y comportamientos observables.</w:t>
      </w:r>
      <w:r>
        <w:rPr>
          <w:rFonts w:ascii="Google Sans" w:eastAsia="Google Sans" w:hAnsi="Google Sans" w:cs="Google Sans"/>
          <w:color w:val="444746"/>
          <w:sz w:val="24"/>
          <w:szCs w:val="24"/>
          <w:vertAlign w:val="superscript"/>
        </w:rPr>
        <w:t>5</w:t>
      </w:r>
    </w:p>
    <w:p w14:paraId="6B596B9E"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El SEM permite abordar esta limitación mediante la combinación del análisis factorial confirmatorio (CFA) y el análisis de rutas. Esta integración facilita la estimación de errores de medición y la evaluación de modelos conceptuales basados en la literatura académica, permitiendo que conceptos como el "trauma psicosocial" de Martín-Baró dejen de ser abstracciones teóricas para convertirse en modelos empíricos evaluables.</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 xml:space="preserve"> La utilidad de este enfoque radica en su capacidad para modelar relaciones directas e indirectas (mediaciones) entre múltiples constructos simultáneamente, proporcionando una visión holística de cómo la guerra transforma la psique individual y las estructuras sociales.</w:t>
      </w:r>
      <w:r>
        <w:rPr>
          <w:rFonts w:ascii="Google Sans" w:eastAsia="Google Sans" w:hAnsi="Google Sans" w:cs="Google Sans"/>
          <w:color w:val="444746"/>
          <w:sz w:val="24"/>
          <w:szCs w:val="24"/>
          <w:vertAlign w:val="superscript"/>
        </w:rPr>
        <w:t>8</w:t>
      </w:r>
    </w:p>
    <w:p w14:paraId="60828422" w14:textId="77777777" w:rsidR="002B550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Arquetipos de conflicto y su relación con la severidad</w:t>
      </w:r>
    </w:p>
    <w:p w14:paraId="0A13F062"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lastRenderedPageBreak/>
        <w:t>Recientes investigaciones han utilizado algoritmos de aprendizaje automático para identificar arquetipos de conflictos armados a partir de datos masivos, como los del Armed Conflict Location &amp; Event Data Project (ACLED). Estos análisis han revelado tres categorías fundamentales que emergen de los datos geográficos, demográficos y económicos:</w:t>
      </w:r>
    </w:p>
    <w:p w14:paraId="39F9A5E3" w14:textId="77777777" w:rsidR="002B5502" w:rsidRDefault="002B5502">
      <w:pPr>
        <w:pBdr>
          <w:top w:val="nil"/>
          <w:left w:val="nil"/>
          <w:bottom w:val="nil"/>
          <w:right w:val="nil"/>
          <w:between w:val="nil"/>
        </w:pBdr>
        <w:spacing w:line="275" w:lineRule="auto"/>
        <w:rPr>
          <w:rFonts w:ascii="Google Sans" w:eastAsia="Google Sans" w:hAnsi="Google Sans" w:cs="Google Sans"/>
          <w:color w:val="1F1F1F"/>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B5502" w14:paraId="2B7597A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5DB77A"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Arquetipo de Conflicto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549E22" w14:textId="60DFDA70" w:rsidR="002B550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Características </w:t>
            </w:r>
            <w:r w:rsidR="00307D33">
              <w:rPr>
                <w:rFonts w:ascii="Google Sans" w:eastAsia="Google Sans" w:hAnsi="Google Sans" w:cs="Google Sans"/>
                <w:b/>
                <w:bCs/>
                <w:color w:val="1F1F1F"/>
              </w:rPr>
              <w:t>p</w:t>
            </w:r>
            <w:r>
              <w:rPr>
                <w:rFonts w:ascii="Google Sans" w:eastAsia="Google Sans" w:hAnsi="Google Sans" w:cs="Google Sans"/>
                <w:b/>
                <w:bCs/>
                <w:color w:val="1F1F1F"/>
              </w:rPr>
              <w:t>rincipales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435DE2" w14:textId="54B64FF0" w:rsidR="002B550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Ejemplos </w:t>
            </w:r>
            <w:r w:rsidR="00307D33">
              <w:rPr>
                <w:rFonts w:ascii="Google Sans" w:eastAsia="Google Sans" w:hAnsi="Google Sans" w:cs="Google Sans"/>
                <w:b/>
                <w:bCs/>
                <w:color w:val="1F1F1F"/>
              </w:rPr>
              <w:t>r</w:t>
            </w:r>
            <w:r>
              <w:rPr>
                <w:rFonts w:ascii="Google Sans" w:eastAsia="Google Sans" w:hAnsi="Google Sans" w:cs="Google Sans"/>
                <w:b/>
                <w:bCs/>
                <w:color w:val="1F1F1F"/>
              </w:rPr>
              <w:t>epresentativos</w:t>
            </w:r>
          </w:p>
        </w:tc>
      </w:tr>
      <w:tr w:rsidR="002B5502" w14:paraId="6922734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476809"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Disturbios mayores (Major unrest)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6F0BF8"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Violencia de larga duración, extensa geográficamente, en regiones densamente pobladas y conectadas.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2AF5BE" w14:textId="77777777" w:rsidR="002B550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Insurgencia de Boko Haram, guerra civil en la República Centroafricana.</w:t>
            </w:r>
            <w:r>
              <w:rPr>
                <w:rFonts w:ascii="Google Sans" w:eastAsia="Google Sans" w:hAnsi="Google Sans" w:cs="Google Sans"/>
                <w:color w:val="444746"/>
                <w:sz w:val="24"/>
                <w:szCs w:val="24"/>
                <w:vertAlign w:val="superscript"/>
              </w:rPr>
              <w:t>10</w:t>
            </w:r>
          </w:p>
        </w:tc>
      </w:tr>
      <w:tr w:rsidR="002B5502" w14:paraId="4711D123"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AC80EB"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Conflicto local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DA9E53"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Disputas geográficamente contenidas dentro de un país, de duración media (meses).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F89FA7" w14:textId="77777777" w:rsidR="002B550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Conflicto Seleka vs. anti-Balaka.</w:t>
            </w:r>
            <w:r>
              <w:rPr>
                <w:rFonts w:ascii="Google Sans" w:eastAsia="Google Sans" w:hAnsi="Google Sans" w:cs="Google Sans"/>
                <w:color w:val="444746"/>
                <w:sz w:val="24"/>
                <w:szCs w:val="24"/>
                <w:vertAlign w:val="superscript"/>
              </w:rPr>
              <w:t>10</w:t>
            </w:r>
          </w:p>
        </w:tc>
      </w:tr>
      <w:tr w:rsidR="002B5502" w14:paraId="6464718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911524"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Eventos esporádicos o de desbordamiento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E4CF5D"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Brotes de corta duración en áreas remotas o subdesarrolladas con baja población.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F3C8A0" w14:textId="77777777" w:rsidR="002B550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Desbordamiento de Al-Shabaab hacia regiones fronterizas.</w:t>
            </w:r>
            <w:r>
              <w:rPr>
                <w:rFonts w:ascii="Google Sans" w:eastAsia="Google Sans" w:hAnsi="Google Sans" w:cs="Google Sans"/>
                <w:color w:val="444746"/>
                <w:sz w:val="24"/>
                <w:szCs w:val="24"/>
                <w:vertAlign w:val="superscript"/>
              </w:rPr>
              <w:t>10</w:t>
            </w:r>
          </w:p>
        </w:tc>
      </w:tr>
    </w:tbl>
    <w:p w14:paraId="7C64F660"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Un hallazgo crítico para la modelización estructural es que estos arquetipos, aunque robustos estadísticamente, no predicen de manera fiable la severidad o letalidad del conflicto.</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Esta desconexión sugiere que la intensidad de la violencia es una variable latente influenciada por factores dinámicos y contingentes que escapan a las categorizaciones fijas, lo que subraya la importancia de modelos que incorporen la evolución temporal de los riesgos de conflicto.</w:t>
      </w:r>
      <w:r>
        <w:rPr>
          <w:rFonts w:ascii="Google Sans" w:eastAsia="Google Sans" w:hAnsi="Google Sans" w:cs="Google Sans"/>
          <w:color w:val="444746"/>
          <w:sz w:val="24"/>
          <w:szCs w:val="24"/>
          <w:vertAlign w:val="superscript"/>
        </w:rPr>
        <w:t>12</w:t>
      </w:r>
    </w:p>
    <w:p w14:paraId="484CBE01" w14:textId="77777777" w:rsidR="002B550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Dimensiones psicosociales en el modelado estructural</w:t>
      </w:r>
    </w:p>
    <w:p w14:paraId="43221364"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La literatura contemporánea sobre víctimas del conflicto armado se centra en constructos que median el impacto de la violencia en el bienestar. El SEM ha sido fundamental para validar escalas y probar modelos de mediación que explican por qué algunos individuos desarrollan patologías crónicas mientras otros logran procesos de adaptación positiva.</w:t>
      </w:r>
    </w:p>
    <w:p w14:paraId="0D4EB3CE" w14:textId="77777777" w:rsidR="002B550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El trauma psicosocial y la validación de la escala ETAPS</w:t>
      </w:r>
    </w:p>
    <w:p w14:paraId="1F549C76"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lastRenderedPageBreak/>
        <w:t>El concepto de trauma psicosocial, que vincula el daño individual con la fractura de las redes de relación social, ha sido operacionalizado mediante la Escala de Trauma Psicosocial (ETAPS). La validación de este instrumento en Colombia representa un hito psicométrico, permitiendo transitar de una evaluación clínica individual a una medida del impacto socialmente compartido.</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El análisis factorial confirmatorio ha refinado la escala original de 61 ítems a una versión optimizada (ETAPS 0.2) de 39 ítems, agrupados en cuatro dimensiones latentes:</w:t>
      </w:r>
    </w:p>
    <w:p w14:paraId="0C031E4E" w14:textId="77777777" w:rsidR="002B5502" w:rsidRDefault="002B5502">
      <w:pPr>
        <w:pBdr>
          <w:top w:val="nil"/>
          <w:left w:val="nil"/>
          <w:bottom w:val="nil"/>
          <w:right w:val="nil"/>
          <w:between w:val="nil"/>
        </w:pBdr>
        <w:spacing w:line="275" w:lineRule="auto"/>
        <w:rPr>
          <w:rFonts w:ascii="Google Sans" w:eastAsia="Google Sans" w:hAnsi="Google Sans" w:cs="Google Sans"/>
          <w:color w:val="1F1F1F"/>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B5502" w14:paraId="64715DE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AE5C17" w14:textId="4940BB74" w:rsidR="002B550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Dimensión </w:t>
            </w:r>
            <w:r w:rsidR="00307D33">
              <w:rPr>
                <w:rFonts w:ascii="Google Sans" w:eastAsia="Google Sans" w:hAnsi="Google Sans" w:cs="Google Sans"/>
                <w:b/>
                <w:bCs/>
                <w:color w:val="1F1F1F"/>
              </w:rPr>
              <w:t>l</w:t>
            </w:r>
            <w:r>
              <w:rPr>
                <w:rFonts w:ascii="Google Sans" w:eastAsia="Google Sans" w:hAnsi="Google Sans" w:cs="Google Sans"/>
                <w:b/>
                <w:bCs/>
                <w:color w:val="1F1F1F"/>
              </w:rPr>
              <w:t>atente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0FE2AE" w14:textId="7AB4F36C" w:rsidR="002B550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Enfoque de la </w:t>
            </w:r>
            <w:r w:rsidR="00307D33">
              <w:rPr>
                <w:rFonts w:ascii="Google Sans" w:eastAsia="Google Sans" w:hAnsi="Google Sans" w:cs="Google Sans"/>
                <w:b/>
                <w:bCs/>
                <w:color w:val="1F1F1F"/>
              </w:rPr>
              <w:t>m</w:t>
            </w:r>
            <w:r>
              <w:rPr>
                <w:rFonts w:ascii="Google Sans" w:eastAsia="Google Sans" w:hAnsi="Google Sans" w:cs="Google Sans"/>
                <w:b/>
                <w:bCs/>
                <w:color w:val="1F1F1F"/>
              </w:rPr>
              <w:t>edición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77FEA9" w14:textId="45502B2A" w:rsidR="002B550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Indicadores </w:t>
            </w:r>
            <w:r w:rsidR="00307D33">
              <w:rPr>
                <w:rFonts w:ascii="Google Sans" w:eastAsia="Google Sans" w:hAnsi="Google Sans" w:cs="Google Sans"/>
                <w:b/>
                <w:bCs/>
                <w:color w:val="1F1F1F"/>
              </w:rPr>
              <w:t>c</w:t>
            </w:r>
            <w:r>
              <w:rPr>
                <w:rFonts w:ascii="Google Sans" w:eastAsia="Google Sans" w:hAnsi="Google Sans" w:cs="Google Sans"/>
                <w:b/>
                <w:bCs/>
                <w:color w:val="1F1F1F"/>
              </w:rPr>
              <w:t>lave</w:t>
            </w:r>
          </w:p>
        </w:tc>
      </w:tr>
      <w:tr w:rsidR="002B5502" w14:paraId="0AC0C28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2B5B53"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Represión y maltrato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5B7025"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Daños morales y trato deshumanizante por parte de actores armados.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EA11FD" w14:textId="77777777" w:rsidR="002B550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Experiencias de tortura, humillación y control coercitivo.</w:t>
            </w:r>
            <w:r>
              <w:rPr>
                <w:rFonts w:ascii="Google Sans" w:eastAsia="Google Sans" w:hAnsi="Google Sans" w:cs="Google Sans"/>
                <w:color w:val="444746"/>
                <w:sz w:val="24"/>
                <w:szCs w:val="24"/>
                <w:vertAlign w:val="superscript"/>
              </w:rPr>
              <w:t>3</w:t>
            </w:r>
          </w:p>
        </w:tc>
      </w:tr>
      <w:tr w:rsidR="002B5502" w14:paraId="070F08C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F33738"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Amenaza y miedo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9A1D15"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Impacto persistente de los eventos traumáticos originales.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5AA23E" w14:textId="77777777" w:rsidR="002B550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Percepción de inseguridad constante y miedo a la repetición del evento.</w:t>
            </w:r>
            <w:r>
              <w:rPr>
                <w:rFonts w:ascii="Google Sans" w:eastAsia="Google Sans" w:hAnsi="Google Sans" w:cs="Google Sans"/>
                <w:color w:val="444746"/>
                <w:sz w:val="24"/>
                <w:szCs w:val="24"/>
                <w:vertAlign w:val="superscript"/>
              </w:rPr>
              <w:t>3</w:t>
            </w:r>
          </w:p>
        </w:tc>
      </w:tr>
      <w:tr w:rsidR="002B5502" w14:paraId="375E53F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D0957B"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Emociones negativas intergrupales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036BB1"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Sentimientos derivados de la polarización del conflicto.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476799" w14:textId="77777777" w:rsidR="002B550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Ira, odio o resentimiento hacia grupos específicos o la sociedad.</w:t>
            </w:r>
            <w:r>
              <w:rPr>
                <w:rFonts w:ascii="Google Sans" w:eastAsia="Google Sans" w:hAnsi="Google Sans" w:cs="Google Sans"/>
                <w:color w:val="444746"/>
                <w:sz w:val="24"/>
                <w:szCs w:val="24"/>
                <w:vertAlign w:val="superscript"/>
              </w:rPr>
              <w:t>3</w:t>
            </w:r>
          </w:p>
        </w:tc>
      </w:tr>
      <w:tr w:rsidR="002B5502" w14:paraId="7ACA226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C8F10B"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Destrucción de la sociabilidad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D40E90"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Impacto en las condiciones actuales de relación comunitaria.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3F5C70" w14:textId="77777777" w:rsidR="002B550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Pérdida de confianza en el vecino, ruptura de redes de apoyo.</w:t>
            </w:r>
            <w:r>
              <w:rPr>
                <w:rFonts w:ascii="Google Sans" w:eastAsia="Google Sans" w:hAnsi="Google Sans" w:cs="Google Sans"/>
                <w:color w:val="444746"/>
                <w:sz w:val="24"/>
                <w:szCs w:val="24"/>
                <w:vertAlign w:val="superscript"/>
              </w:rPr>
              <w:t>3</w:t>
            </w:r>
          </w:p>
        </w:tc>
      </w:tr>
    </w:tbl>
    <w:p w14:paraId="3795E072"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El modelo ETAPS 0.2 ha demostrado una estructura reflexiva sólida, con índices de ajuste adecuados (</w:t>
      </w:r>
      <w:r>
        <w:rPr>
          <w:rFonts w:ascii="Google Sans" w:eastAsia="Google Sans" w:hAnsi="Google Sans" w:cs="Google Sans"/>
          <w:noProof/>
          <w:color w:val="1F1F1F"/>
        </w:rPr>
        <w:drawing>
          <wp:inline distT="19050" distB="19050" distL="19050" distR="19050" wp14:anchorId="765E91E1" wp14:editId="250F6218">
            <wp:extent cx="1383059" cy="22892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383059" cy="228920"/>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5A330836" wp14:editId="72CEE31F">
            <wp:extent cx="1239288" cy="22879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1239288" cy="228792"/>
                    </a:xfrm>
                    <a:prstGeom prst="rect">
                      <a:avLst/>
                    </a:prstGeom>
                    <a:ln/>
                  </pic:spPr>
                </pic:pic>
              </a:graphicData>
            </a:graphic>
          </wp:inline>
        </w:drawing>
      </w:r>
      <w:r>
        <w:rPr>
          <w:rFonts w:ascii="Google Sans" w:eastAsia="Google Sans" w:hAnsi="Google Sans" w:cs="Google Sans"/>
          <w:color w:val="1F1F1F"/>
        </w:rPr>
        <w:t>) y una alta confiabilidad (</w:t>
      </w:r>
      <w:r>
        <w:rPr>
          <w:rFonts w:ascii="Google Sans" w:eastAsia="Google Sans" w:hAnsi="Google Sans" w:cs="Google Sans"/>
          <w:noProof/>
          <w:color w:val="1F1F1F"/>
        </w:rPr>
        <w:drawing>
          <wp:inline distT="19050" distB="19050" distL="19050" distR="19050" wp14:anchorId="05EBFE7F" wp14:editId="498F06B5">
            <wp:extent cx="118616" cy="23723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8616" cy="237232"/>
                    </a:xfrm>
                    <a:prstGeom prst="rect">
                      <a:avLst/>
                    </a:prstGeom>
                    <a:ln/>
                  </pic:spPr>
                </pic:pic>
              </a:graphicData>
            </a:graphic>
          </wp:inline>
        </w:drawing>
      </w:r>
      <w:r>
        <w:rPr>
          <w:rFonts w:ascii="Google Sans" w:eastAsia="Google Sans" w:hAnsi="Google Sans" w:cs="Google Sans"/>
          <w:color w:val="1F1F1F"/>
        </w:rPr>
        <w:t xml:space="preserve"> entre 0.80 y 0.85), lo que garantiza su utilidad en el diseño de programas de reparación integral.</w:t>
      </w:r>
      <w:r>
        <w:rPr>
          <w:rFonts w:ascii="Google Sans" w:eastAsia="Google Sans" w:hAnsi="Google Sans" w:cs="Google Sans"/>
          <w:color w:val="444746"/>
          <w:sz w:val="24"/>
          <w:szCs w:val="24"/>
          <w:vertAlign w:val="superscript"/>
        </w:rPr>
        <w:t>3</w:t>
      </w:r>
    </w:p>
    <w:p w14:paraId="0BD03CF9" w14:textId="77777777" w:rsidR="002B550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Modelos de estrés, resiliencia y afrontamiento</w:t>
      </w:r>
    </w:p>
    <w:p w14:paraId="4EBFE1D7"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Otro eje central del SEM en este campo es la relación entre el estrés traumático, la resiliencia y las estrategias de afrontamiento (coping). Los modelos estructurales han confirmado que la resiliencia actúa como una variable latente protectora que modula el efecto del estrés sobre la salud mental.</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En víctimas colombianas, se ha observado que la resiliencia se mantiene alta incluso tras la exposición a traumas múltiples, funcionando como un recurso estable que reduce el uso de estrategias de afrontamiento negativas.</w:t>
      </w:r>
      <w:r>
        <w:rPr>
          <w:rFonts w:ascii="Google Sans" w:eastAsia="Google Sans" w:hAnsi="Google Sans" w:cs="Google Sans"/>
          <w:color w:val="444746"/>
          <w:sz w:val="24"/>
          <w:szCs w:val="24"/>
          <w:vertAlign w:val="superscript"/>
        </w:rPr>
        <w:t>14</w:t>
      </w:r>
    </w:p>
    <w:p w14:paraId="3247D697"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La resiliencia se conceptualiza a menudo como un constructo multifactorial que integra recursos individuales, familiares y comunitarios. En este sentido, el apoyo familiar emerge como el predictor más fuerte de la resiliencia latente en víctimas de desplazamiento forzado, mostrando una correlación inversa significativa con los niveles de ansiedad y depresión (</w:t>
      </w:r>
      <w:r>
        <w:rPr>
          <w:rFonts w:ascii="Google Sans" w:eastAsia="Google Sans" w:hAnsi="Google Sans" w:cs="Google Sans"/>
          <w:noProof/>
          <w:color w:val="1F1F1F"/>
        </w:rPr>
        <w:drawing>
          <wp:inline distT="19050" distB="19050" distL="19050" distR="19050" wp14:anchorId="0F012CEB" wp14:editId="3B24DAB6">
            <wp:extent cx="1745752" cy="228951"/>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745752" cy="228951"/>
                    </a:xfrm>
                    <a:prstGeom prst="rect">
                      <a:avLst/>
                    </a:prstGeom>
                    <a:ln/>
                  </pic:spPr>
                </pic:pic>
              </a:graphicData>
            </a:graphic>
          </wp:inline>
        </w:drawing>
      </w:r>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15</w:t>
      </w:r>
    </w:p>
    <w:p w14:paraId="09001E66" w14:textId="77777777" w:rsidR="002B550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Capital social y confianza institucional: El pegamento de la paz</w:t>
      </w:r>
    </w:p>
    <w:p w14:paraId="649AE3BA"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El capital social es una variable latente crítica para entender la recuperación de sociedades fracturadas por la guerra. Los modelos SEM distinguen entre capital social cognitivo (percepciones de confianza y reciprocidad) y estructural (participación en redes físicas).</w:t>
      </w:r>
      <w:r>
        <w:rPr>
          <w:rFonts w:ascii="Google Sans" w:eastAsia="Google Sans" w:hAnsi="Google Sans" w:cs="Google Sans"/>
          <w:color w:val="444746"/>
          <w:sz w:val="24"/>
          <w:szCs w:val="24"/>
          <w:vertAlign w:val="superscript"/>
        </w:rPr>
        <w:t>16</w:t>
      </w:r>
    </w:p>
    <w:p w14:paraId="251F4B03" w14:textId="77777777" w:rsidR="002B550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La dicotomía de la confianza en contextos de guerra</w:t>
      </w:r>
    </w:p>
    <w:p w14:paraId="3C8D6FE8"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La investigación en refugiados y víctimas sugiere que el conflicto armado altera profundamente la estructura de la confianza. Se ha documentado una disminución significativa de la confianza social en regiones afectadas directamente por la violencia, lo que a menudo se traduce en una mayor cohesión dentro del grupo cercano (bonding) pero un rechazo hacia los de fuera (bridging).</w:t>
      </w:r>
      <w:r>
        <w:rPr>
          <w:rFonts w:ascii="Google Sans" w:eastAsia="Google Sans" w:hAnsi="Google Sans" w:cs="Google Sans"/>
          <w:color w:val="444746"/>
          <w:sz w:val="24"/>
          <w:szCs w:val="24"/>
          <w:vertAlign w:val="superscript"/>
        </w:rPr>
        <w:t>8</w:t>
      </w:r>
      <w:r>
        <w:rPr>
          <w:rFonts w:ascii="Google Sans" w:eastAsia="Google Sans" w:hAnsi="Google Sans" w:cs="Google Sans"/>
          <w:color w:val="1F1F1F"/>
        </w:rPr>
        <w:t xml:space="preserve"> Sin embargo, el impacto del conflicto no es uniformemente negativo. En algunos casos, experiencias personales de cooperación en medio de la guerra pueden aumentar paradójicamente la confianza social generalizada y la confianza en instituciones de seguridad como la policía y los tribunales, siempre que estas se perciban como protectoras en el nuevo entorno.</w:t>
      </w:r>
      <w:r>
        <w:rPr>
          <w:rFonts w:ascii="Google Sans" w:eastAsia="Google Sans" w:hAnsi="Google Sans" w:cs="Google Sans"/>
          <w:color w:val="444746"/>
          <w:sz w:val="24"/>
          <w:szCs w:val="24"/>
          <w:vertAlign w:val="superscript"/>
        </w:rPr>
        <w:t>18</w:t>
      </w:r>
    </w:p>
    <w:p w14:paraId="190AEB81"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En el caso ucraniano, el uso de SEM ha permitido estimar que la guerra impacta la confianza social principalmente a través de la mediación del deterioro del contexto y la afectación de los recursos internos del individuo, como la salud mental y la percepción de seguridad.</w:t>
      </w:r>
      <w:r>
        <w:rPr>
          <w:rFonts w:ascii="Google Sans" w:eastAsia="Google Sans" w:hAnsi="Google Sans" w:cs="Google Sans"/>
          <w:color w:val="444746"/>
          <w:sz w:val="24"/>
          <w:szCs w:val="24"/>
          <w:vertAlign w:val="superscript"/>
        </w:rPr>
        <w:t>8</w:t>
      </w:r>
    </w:p>
    <w:p w14:paraId="52F96DA2" w14:textId="77777777" w:rsidR="002B550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Confianza institucional y bienestar subjetivo</w:t>
      </w:r>
    </w:p>
    <w:p w14:paraId="45EFBB6A"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La confianza institucional (IT) se modela frecuentemente como un mediador entre la percepción de corrupción o inseguridad y el bienestar subjetivo (SWB).</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 xml:space="preserve"> En Colombia, la desconfianza en el sistema de justicia y la policía está estrechamente vinculada a la sensación de inseguridad urbana. Interesantemente, el análisis multivariante ha mostrado que la edad influye significativamente en esta percepción: los adultos mayores tienden a confiar más en las instituciones de la fuerza pública en comparación con los jóvenes, quienes a menudo perciben a la policía con mayor escepticismo.</w:t>
      </w:r>
      <w:r>
        <w:rPr>
          <w:rFonts w:ascii="Google Sans" w:eastAsia="Google Sans" w:hAnsi="Google Sans" w:cs="Google Sans"/>
          <w:color w:val="444746"/>
          <w:sz w:val="24"/>
          <w:szCs w:val="24"/>
          <w:vertAlign w:val="superscript"/>
        </w:rPr>
        <w:t>20</w:t>
      </w:r>
    </w:p>
    <w:p w14:paraId="18F5AA00" w14:textId="77777777" w:rsidR="002B550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Avances metodológicos: SEM multinivel y longitudinal</w:t>
      </w:r>
    </w:p>
    <w:p w14:paraId="23878955"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La frontera del conocimiento en SEM para el conflicto armado se define por la capacidad de </w:t>
      </w:r>
      <w:r>
        <w:rPr>
          <w:rFonts w:ascii="Google Sans" w:eastAsia="Google Sans" w:hAnsi="Google Sans" w:cs="Google Sans"/>
          <w:color w:val="1F1F1F"/>
        </w:rPr>
        <w:lastRenderedPageBreak/>
        <w:t>manejar datos complejos que reflejan la realidad anidada y cambiante de la violencia.</w:t>
      </w:r>
    </w:p>
    <w:p w14:paraId="21AC58B9" w14:textId="77777777" w:rsidR="002B550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El desafío del análisis multinivel (MSEM)</w:t>
      </w:r>
    </w:p>
    <w:p w14:paraId="6BD478B0"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Debido a que las víctimas suelen estar agrupadas en municipios o departamentos con diferentes niveles de intensidad de conflicto, el SEM tradicional puede subestimar los errores estándar y llevar a conclusiones erróneas. El MSEM permite modelar simultáneamente las relaciones a nivel individual (Nivel 1) y a nivel de grupo o región (Nivel 2).</w:t>
      </w:r>
      <w:r>
        <w:rPr>
          <w:rFonts w:ascii="Google Sans" w:eastAsia="Google Sans" w:hAnsi="Google Sans" w:cs="Google Sans"/>
          <w:color w:val="444746"/>
          <w:sz w:val="24"/>
          <w:szCs w:val="24"/>
          <w:vertAlign w:val="superscript"/>
        </w:rPr>
        <w:t>21</w:t>
      </w:r>
    </w:p>
    <w:p w14:paraId="5126DCB7"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Una de las contribuciones más importantes de la literatura reciente es el refinamiento de la evaluación del ajuste del modelo en MSEM. El enfoque estándar ha sido criticado por no detectar fallos de ajuste en el Nivel 2 debido a que las estadísticas globales están dominadas por el tamaño de muestra del Nivel 1.</w:t>
      </w:r>
      <w:r>
        <w:rPr>
          <w:rFonts w:ascii="Google Sans" w:eastAsia="Google Sans" w:hAnsi="Google Sans" w:cs="Google Sans"/>
          <w:color w:val="444746"/>
          <w:sz w:val="24"/>
          <w:szCs w:val="24"/>
          <w:vertAlign w:val="superscript"/>
        </w:rPr>
        <w:t>21</w:t>
      </w:r>
      <w:r>
        <w:rPr>
          <w:rFonts w:ascii="Google Sans" w:eastAsia="Google Sans" w:hAnsi="Google Sans" w:cs="Google Sans"/>
          <w:color w:val="1F1F1F"/>
        </w:rPr>
        <w:t xml:space="preserve"> Las mejores prácticas ahora sugieren el uso de modelos parcialmente saturados o procedimientos de segregación de dos pasos para evaluar cada nivel de manera independiente.</w:t>
      </w:r>
      <w:r>
        <w:rPr>
          <w:rFonts w:ascii="Google Sans" w:eastAsia="Google Sans" w:hAnsi="Google Sans" w:cs="Google Sans"/>
          <w:color w:val="444746"/>
          <w:sz w:val="24"/>
          <w:szCs w:val="24"/>
          <w:vertAlign w:val="superscript"/>
        </w:rPr>
        <w:t>21</w:t>
      </w:r>
    </w:p>
    <w:p w14:paraId="5AEE3E28" w14:textId="77777777" w:rsidR="002B550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Modelado de curvas de crecimiento latente (LGM)</w:t>
      </w:r>
    </w:p>
    <w:p w14:paraId="00D37108"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Para entender cómo evolucionan las secuelas del conflicto, el LGM permite analizar trayectorias de cambio individuales a través de múltiples oleadas de medición. Este enfoque utiliza variables latentes para representar el nivel inicial (intercepto) y la tasa de cambio (pendiente) de un fenómeno, como el TEPT o la integración social.</w:t>
      </w:r>
      <w:r>
        <w:rPr>
          <w:rFonts w:ascii="Google Sans" w:eastAsia="Google Sans" w:hAnsi="Google Sans" w:cs="Google Sans"/>
          <w:color w:val="444746"/>
          <w:sz w:val="24"/>
          <w:szCs w:val="24"/>
          <w:vertAlign w:val="superscript"/>
        </w:rPr>
        <w:t>23</w:t>
      </w:r>
    </w:p>
    <w:p w14:paraId="4AA3F3FB"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El LGM es particularmente útil para evaluar la eficacia de intervenciones psicosociales. Por ejemplo, en el programa PAPSIVI de Colombia, se ha observado que ciertas exposiciones graves, como la violencia sexual o la desaparición forzada, requieren trayectorias de atención más prolongadas, mientras que barreras estructurales como el confinamiento impiden que las víctimas inicien siquiera una trayectoria de recuperación.</w:t>
      </w:r>
      <w:r>
        <w:rPr>
          <w:rFonts w:ascii="Google Sans" w:eastAsia="Google Sans" w:hAnsi="Google Sans" w:cs="Google Sans"/>
          <w:color w:val="444746"/>
          <w:sz w:val="24"/>
          <w:szCs w:val="24"/>
          <w:vertAlign w:val="superscript"/>
        </w:rPr>
        <w:t>26</w:t>
      </w:r>
    </w:p>
    <w:p w14:paraId="0ED3C73E" w14:textId="77777777" w:rsidR="002B550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El contexto colombiano: Un análisis estructural de la victimización</w:t>
      </w:r>
    </w:p>
    <w:p w14:paraId="6D8F5968"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Con más de 9 millones de víctimas registradas, Colombia es el escenario donde más se ha puesto a prueba la capacidad del SEM para informar la política pública.</w:t>
      </w:r>
      <w:r>
        <w:rPr>
          <w:rFonts w:ascii="Google Sans" w:eastAsia="Google Sans" w:hAnsi="Google Sans" w:cs="Google Sans"/>
          <w:color w:val="444746"/>
          <w:sz w:val="24"/>
          <w:szCs w:val="24"/>
          <w:vertAlign w:val="superscript"/>
        </w:rPr>
        <w:t>26</w:t>
      </w:r>
    </w:p>
    <w:p w14:paraId="2F65DA5A" w14:textId="77777777" w:rsidR="002B550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Análisis multinivel del acceso al programa PAPSIVI</w:t>
      </w:r>
    </w:p>
    <w:p w14:paraId="71767400"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Un estudio masivo que utilizó datos vinculados de más de 8 millones de víctimas permitió analizar los factores que determinan el acceso al servicio de atención psicosocial del Estado. Los resultados de los modelos de regresión logística multinivel revelaron desigualdades significativas en el acceso según el tipo de exposición y la demografía:</w:t>
      </w:r>
    </w:p>
    <w:p w14:paraId="684D24E0" w14:textId="77777777" w:rsidR="002B5502" w:rsidRDefault="002B5502">
      <w:pPr>
        <w:pBdr>
          <w:top w:val="nil"/>
          <w:left w:val="nil"/>
          <w:bottom w:val="nil"/>
          <w:right w:val="nil"/>
          <w:between w:val="nil"/>
        </w:pBdr>
        <w:spacing w:line="275" w:lineRule="auto"/>
        <w:rPr>
          <w:rFonts w:ascii="Google Sans" w:eastAsia="Google Sans" w:hAnsi="Google Sans" w:cs="Google Sans"/>
          <w:color w:val="1F1F1F"/>
        </w:rPr>
      </w:pP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B5502" w14:paraId="0D0D1B3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8C8F65" w14:textId="1FE34B81" w:rsidR="002B550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 xml:space="preserve">Grupo </w:t>
            </w:r>
            <w:r w:rsidR="00307D33">
              <w:rPr>
                <w:rFonts w:ascii="Google Sans" w:eastAsia="Google Sans" w:hAnsi="Google Sans" w:cs="Google Sans"/>
                <w:b/>
                <w:bCs/>
                <w:color w:val="1F1F1F"/>
              </w:rPr>
              <w:t>p</w:t>
            </w:r>
            <w:r>
              <w:rPr>
                <w:rFonts w:ascii="Google Sans" w:eastAsia="Google Sans" w:hAnsi="Google Sans" w:cs="Google Sans"/>
                <w:b/>
                <w:bCs/>
                <w:color w:val="1F1F1F"/>
              </w:rPr>
              <w:t xml:space="preserve">oblacional / Tipo de </w:t>
            </w:r>
            <w:r w:rsidR="00307D33">
              <w:rPr>
                <w:rFonts w:ascii="Google Sans" w:eastAsia="Google Sans" w:hAnsi="Google Sans" w:cs="Google Sans"/>
                <w:b/>
                <w:bCs/>
                <w:color w:val="1F1F1F"/>
              </w:rPr>
              <w:t>e</w:t>
            </w:r>
            <w:r>
              <w:rPr>
                <w:rFonts w:ascii="Google Sans" w:eastAsia="Google Sans" w:hAnsi="Google Sans" w:cs="Google Sans"/>
                <w:b/>
                <w:bCs/>
                <w:color w:val="1F1F1F"/>
              </w:rPr>
              <w:t>xposición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6616B9" w14:textId="07FD5586" w:rsidR="002B550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Probabilidad de </w:t>
            </w:r>
            <w:r w:rsidR="00307D33">
              <w:rPr>
                <w:rFonts w:ascii="Google Sans" w:eastAsia="Google Sans" w:hAnsi="Google Sans" w:cs="Google Sans"/>
                <w:b/>
                <w:bCs/>
                <w:color w:val="1F1F1F"/>
              </w:rPr>
              <w:t>a</w:t>
            </w:r>
            <w:r>
              <w:rPr>
                <w:rFonts w:ascii="Google Sans" w:eastAsia="Google Sans" w:hAnsi="Google Sans" w:cs="Google Sans"/>
                <w:b/>
                <w:bCs/>
                <w:color w:val="1F1F1F"/>
              </w:rPr>
              <w:t>cceso (Odds Ratio)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826298" w14:textId="0F28949E" w:rsidR="002B5502"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Hallazgo </w:t>
            </w:r>
            <w:r w:rsidR="00307D33">
              <w:rPr>
                <w:rFonts w:ascii="Google Sans" w:eastAsia="Google Sans" w:hAnsi="Google Sans" w:cs="Google Sans"/>
                <w:b/>
                <w:bCs/>
                <w:color w:val="1F1F1F"/>
              </w:rPr>
              <w:t>p</w:t>
            </w:r>
            <w:r>
              <w:rPr>
                <w:rFonts w:ascii="Google Sans" w:eastAsia="Google Sans" w:hAnsi="Google Sans" w:cs="Google Sans"/>
                <w:b/>
                <w:bCs/>
                <w:color w:val="1F1F1F"/>
              </w:rPr>
              <w:t>rincipal</w:t>
            </w:r>
          </w:p>
        </w:tc>
      </w:tr>
      <w:tr w:rsidR="002B5502" w14:paraId="6B3F031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D9D716"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Mujeres y personas de género "otro"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1D331F"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Mayor probabilidad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3EF4B7" w14:textId="77777777" w:rsidR="002B550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El programa tiene un enfoque de género efectivo en su alcance inicial.</w:t>
            </w:r>
            <w:r>
              <w:rPr>
                <w:rFonts w:ascii="Google Sans" w:eastAsia="Google Sans" w:hAnsi="Google Sans" w:cs="Google Sans"/>
                <w:color w:val="444746"/>
                <w:sz w:val="24"/>
                <w:szCs w:val="24"/>
                <w:vertAlign w:val="superscript"/>
              </w:rPr>
              <w:t>26</w:t>
            </w:r>
          </w:p>
        </w:tc>
      </w:tr>
      <w:tr w:rsidR="002B5502" w14:paraId="22785A9E"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6792A7"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Minorías étnicas y personas con discapacidad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F71FB23"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Mayor probabilidad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BC7243" w14:textId="77777777" w:rsidR="002B550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Existe una priorización exitosa de grupos tradicionalmente vulnerables.</w:t>
            </w:r>
            <w:r>
              <w:rPr>
                <w:rFonts w:ascii="Google Sans" w:eastAsia="Google Sans" w:hAnsi="Google Sans" w:cs="Google Sans"/>
                <w:color w:val="444746"/>
                <w:sz w:val="24"/>
                <w:szCs w:val="24"/>
                <w:vertAlign w:val="superscript"/>
              </w:rPr>
              <w:t>26</w:t>
            </w:r>
          </w:p>
        </w:tc>
      </w:tr>
      <w:tr w:rsidR="002B5502" w14:paraId="250F2B7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3936E9"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Víctimas de violencia sexual y tortura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FC8ED7"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Mayor probabilidad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00B43C" w14:textId="77777777" w:rsidR="002B550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Las exposiciones más severas activan rutas de atención prioritaria.</w:t>
            </w:r>
            <w:r>
              <w:rPr>
                <w:rFonts w:ascii="Google Sans" w:eastAsia="Google Sans" w:hAnsi="Google Sans" w:cs="Google Sans"/>
                <w:color w:val="444746"/>
                <w:sz w:val="24"/>
                <w:szCs w:val="24"/>
                <w:vertAlign w:val="superscript"/>
              </w:rPr>
              <w:t>26</w:t>
            </w:r>
          </w:p>
        </w:tc>
      </w:tr>
      <w:tr w:rsidR="002B5502" w14:paraId="78ECDC1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202C9D2"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Familiares de víctimas de homicidio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055E78"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Menor probabilidad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0611FC" w14:textId="77777777" w:rsidR="002B550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Existe una brecha crítica en la atención a los supervivientes indirectos.</w:t>
            </w:r>
            <w:r>
              <w:rPr>
                <w:rFonts w:ascii="Google Sans" w:eastAsia="Google Sans" w:hAnsi="Google Sans" w:cs="Google Sans"/>
                <w:color w:val="444746"/>
                <w:sz w:val="24"/>
                <w:szCs w:val="24"/>
                <w:vertAlign w:val="superscript"/>
              </w:rPr>
              <w:t>26</w:t>
            </w:r>
          </w:p>
        </w:tc>
      </w:tr>
      <w:tr w:rsidR="002B5502" w14:paraId="72CCA3B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C36B31"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Víctimas de confinamiento y reclutamiento infantil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F409BF" w14:textId="77777777" w:rsidR="002B5502"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Menor probabilidad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26C127" w14:textId="77777777" w:rsidR="002B5502"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Las barreras geográficas y el miedo impiden el contacto con el servicio.</w:t>
            </w:r>
            <w:r>
              <w:rPr>
                <w:rFonts w:ascii="Google Sans" w:eastAsia="Google Sans" w:hAnsi="Google Sans" w:cs="Google Sans"/>
                <w:color w:val="444746"/>
                <w:sz w:val="24"/>
                <w:szCs w:val="24"/>
                <w:vertAlign w:val="superscript"/>
              </w:rPr>
              <w:t>26</w:t>
            </w:r>
          </w:p>
        </w:tc>
      </w:tr>
    </w:tbl>
    <w:p w14:paraId="2FB0DC26"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Este análisis subraya que, aunque el programa es masivo, el acceso se ve obstaculizado por barreras prácticas (geografía, falta de transporte) y simbólicas (miedo a la estigmatización) que los modelos estructurales ayudan a identificar para su posterior mitigación.</w:t>
      </w:r>
      <w:r>
        <w:rPr>
          <w:rFonts w:ascii="Google Sans" w:eastAsia="Google Sans" w:hAnsi="Google Sans" w:cs="Google Sans"/>
          <w:color w:val="444746"/>
          <w:sz w:val="24"/>
          <w:szCs w:val="24"/>
          <w:vertAlign w:val="superscript"/>
        </w:rPr>
        <w:t>26</w:t>
      </w:r>
    </w:p>
    <w:p w14:paraId="2EFA7AA4" w14:textId="77777777" w:rsidR="002B550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Violencia urbana y variables sociodemográficas en Bogotá</w:t>
      </w:r>
    </w:p>
    <w:p w14:paraId="5A3FC170"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En ciudades como Bogotá, el conflicto armado se entrelaza con la delincuencia común, afectando de manera desproporcionada a los "cinturones de miseria" donde se asienta la población desplazada.</w:t>
      </w:r>
      <w:r>
        <w:rPr>
          <w:rFonts w:ascii="Google Sans" w:eastAsia="Google Sans" w:hAnsi="Google Sans" w:cs="Google Sans"/>
          <w:color w:val="444746"/>
          <w:sz w:val="24"/>
          <w:szCs w:val="24"/>
          <w:vertAlign w:val="superscript"/>
        </w:rPr>
        <w:t>28</w:t>
      </w:r>
      <w:r>
        <w:rPr>
          <w:rFonts w:ascii="Google Sans" w:eastAsia="Google Sans" w:hAnsi="Google Sans" w:cs="Google Sans"/>
          <w:color w:val="1F1F1F"/>
        </w:rPr>
        <w:t xml:space="preserve"> El modelado estructural ha permitido identificar que la percepción de inseguridad no es proporcional a los hechos delictivos per se, sino que está mediada por variables estructurales como el nivel educativo, el género y la calidad del entorno urbano.</w:t>
      </w:r>
      <w:r>
        <w:rPr>
          <w:rFonts w:ascii="Google Sans" w:eastAsia="Google Sans" w:hAnsi="Google Sans" w:cs="Google Sans"/>
          <w:color w:val="444746"/>
          <w:sz w:val="24"/>
          <w:szCs w:val="24"/>
          <w:vertAlign w:val="superscript"/>
        </w:rPr>
        <w:t>29</w:t>
      </w:r>
    </w:p>
    <w:p w14:paraId="5AECDA0D"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Los modelos aplicados en jóvenes de colegios públicos colombianos muestran que la exposición al conflicto armado predice comportamientos externalizados a través de la mediación de cogniciones agresivas. Sin embargo, el sentido de pertenencia comunitaria </w:t>
      </w:r>
      <w:r>
        <w:rPr>
          <w:rFonts w:ascii="Google Sans" w:eastAsia="Google Sans" w:hAnsi="Google Sans" w:cs="Google Sans"/>
          <w:color w:val="1F1F1F"/>
        </w:rPr>
        <w:lastRenderedPageBreak/>
        <w:t>actúa como un moderador latente que puede romper este vínculo, sugiriendo que fortalecer el tejido social local es una estrategia de prevención tan vital como la seguridad física.</w:t>
      </w:r>
      <w:r>
        <w:rPr>
          <w:rFonts w:ascii="Google Sans" w:eastAsia="Google Sans" w:hAnsi="Google Sans" w:cs="Google Sans"/>
          <w:color w:val="444746"/>
          <w:sz w:val="24"/>
          <w:szCs w:val="24"/>
          <w:vertAlign w:val="superscript"/>
        </w:rPr>
        <w:t>30</w:t>
      </w:r>
    </w:p>
    <w:p w14:paraId="4B7601EF" w14:textId="77777777" w:rsidR="002B550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Desafíos metodológicos y calidad de la información</w:t>
      </w:r>
    </w:p>
    <w:p w14:paraId="0935062B"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La aplicación de SEM en zonas de conflicto enfrenta retos monumentales relacionados con la integridad de los datos.</w:t>
      </w:r>
    </w:p>
    <w:p w14:paraId="523A5904" w14:textId="77777777" w:rsidR="002B550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Sesgo de recuerdo y errores de reporte</w:t>
      </w:r>
    </w:p>
    <w:p w14:paraId="2375CD8A"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La falta de datos longitudinales que cubran periodos previos al conflicto obliga a los investigadores a depender de encuestas ex-post con preguntas de recuerdo. Esto introduce el sesgo de recuerdo, donde la propia exposición a la violencia puede distorsionar la capacidad de los participantes para reportar con precisión sus condiciones de vida anteriores.</w:t>
      </w:r>
      <w:r>
        <w:rPr>
          <w:rFonts w:ascii="Google Sans" w:eastAsia="Google Sans" w:hAnsi="Google Sans" w:cs="Google Sans"/>
          <w:color w:val="444746"/>
          <w:sz w:val="24"/>
          <w:szCs w:val="24"/>
          <w:vertAlign w:val="superscript"/>
        </w:rPr>
        <w:t>31</w:t>
      </w:r>
      <w:r>
        <w:rPr>
          <w:rFonts w:ascii="Google Sans" w:eastAsia="Google Sans" w:hAnsi="Google Sans" w:cs="Google Sans"/>
          <w:color w:val="1F1F1F"/>
        </w:rPr>
        <w:t xml:space="preserve"> El uso de modelos que incorporan errores de medición, como el SEM, es una de las pocas formas de intentar corregir estadísticamente estas inconsistencias.</w:t>
      </w:r>
    </w:p>
    <w:p w14:paraId="795AEDDD" w14:textId="77777777" w:rsidR="002B550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Neutralidad y seguridad en la recolección</w:t>
      </w:r>
    </w:p>
    <w:p w14:paraId="3064231C"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El éxito de la investigación en áreas volátiles depende de la percepción de neutralidad política del equipo investigador. Experiencias en Nepal han demostrado que la interacción directa con líderes de todas las partes en conflicto y la transparencia absoluta en los procedimientos de protección de sujetos son requisitos previos para obtener muestras representativas y minimizar el sesgo de no respuesta.</w:t>
      </w:r>
      <w:r>
        <w:rPr>
          <w:rFonts w:ascii="Google Sans" w:eastAsia="Google Sans" w:hAnsi="Google Sans" w:cs="Google Sans"/>
          <w:color w:val="444746"/>
          <w:sz w:val="24"/>
          <w:szCs w:val="24"/>
          <w:vertAlign w:val="superscript"/>
        </w:rPr>
        <w:t>32</w:t>
      </w:r>
      <w:r>
        <w:rPr>
          <w:rFonts w:ascii="Google Sans" w:eastAsia="Google Sans" w:hAnsi="Google Sans" w:cs="Google Sans"/>
          <w:color w:val="1F1F1F"/>
        </w:rPr>
        <w:t xml:space="preserve"> En Colombia, la desterritorialización y el desplazamiento constante obligan a actualizar los marcos de muestreo basados en censos, ya que estos quedan obsoletos rápidamente ante el dinamismo del conflicto.</w:t>
      </w:r>
      <w:r>
        <w:rPr>
          <w:rFonts w:ascii="Google Sans" w:eastAsia="Google Sans" w:hAnsi="Google Sans" w:cs="Google Sans"/>
          <w:color w:val="444746"/>
          <w:sz w:val="24"/>
          <w:szCs w:val="24"/>
          <w:vertAlign w:val="superscript"/>
        </w:rPr>
        <w:t>33</w:t>
      </w:r>
    </w:p>
    <w:p w14:paraId="0CA3AB56" w14:textId="77777777" w:rsidR="002B550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Futuro del modelado estructural en la investigación del conflicto</w:t>
      </w:r>
    </w:p>
    <w:p w14:paraId="7DF0C4A0"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La integración de SEM con nuevas fronteras tecnológicas y conceptuales define la agenda futura de este campo.</w:t>
      </w:r>
    </w:p>
    <w:p w14:paraId="18B42BC8" w14:textId="77777777" w:rsidR="002B5502" w:rsidRPr="00FC036A" w:rsidRDefault="00000000">
      <w:pPr>
        <w:pStyle w:val="Ttulo2"/>
        <w:spacing w:before="0" w:after="120" w:line="275" w:lineRule="auto"/>
        <w:rPr>
          <w:rFonts w:ascii="Google Sans" w:eastAsia="Google Sans" w:hAnsi="Google Sans" w:cs="Google Sans"/>
          <w:color w:val="1F1F1F"/>
          <w:lang w:val="pt-BR"/>
        </w:rPr>
      </w:pPr>
      <w:r w:rsidRPr="00FC036A">
        <w:rPr>
          <w:rFonts w:ascii="Google Sans" w:eastAsia="Google Sans" w:hAnsi="Google Sans" w:cs="Google Sans"/>
          <w:color w:val="1F1F1F"/>
          <w:lang w:val="pt-BR"/>
        </w:rPr>
        <w:t>Aprendizaje automático e IA: ¿Aliados o riesgos?</w:t>
      </w:r>
    </w:p>
    <w:p w14:paraId="530062A9"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El uso de algoritmos para identificar arquetipos de conflicto y modelar la difusión espacial de la violencia (como los procesos de Hawkes) proporciona variables exógenas más precisas para los modelos estructurales.</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No obstante, existe un riesgo creciente de sesgo algorítmico, particularmente en sistemas de soporte a la decisión militar que pueden heredar prejuicios socio-culturales de los datos de entrenamiento.</w:t>
      </w:r>
      <w:r>
        <w:rPr>
          <w:rFonts w:ascii="Google Sans" w:eastAsia="Google Sans" w:hAnsi="Google Sans" w:cs="Google Sans"/>
          <w:color w:val="444746"/>
          <w:sz w:val="24"/>
          <w:szCs w:val="24"/>
          <w:vertAlign w:val="superscript"/>
        </w:rPr>
        <w:t>35</w:t>
      </w:r>
      <w:r>
        <w:rPr>
          <w:rFonts w:ascii="Google Sans" w:eastAsia="Google Sans" w:hAnsi="Google Sans" w:cs="Google Sans"/>
          <w:color w:val="1F1F1F"/>
        </w:rPr>
        <w:t xml:space="preserve"> El SEM puede ser utilizado para auditar estos algoritmos, probando la invarianza de sus predicciones entre diferentes grupos demográficos.</w:t>
      </w:r>
    </w:p>
    <w:p w14:paraId="50D5C06A" w14:textId="77777777" w:rsidR="002B550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Hacia una conceptualización unificada del capital social</w:t>
      </w:r>
    </w:p>
    <w:p w14:paraId="3343863D" w14:textId="77777777" w:rsidR="002B5502" w:rsidRDefault="00000000">
      <w:pPr>
        <w:pBdr>
          <w:top w:val="nil"/>
          <w:left w:val="nil"/>
          <w:bottom w:val="nil"/>
          <w:right w:val="nil"/>
          <w:between w:val="nil"/>
        </w:pBdr>
        <w:spacing w:after="15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El campo se mueve hacia un marco sistemático que identifique dónde residen los recursos beneficiosos (individuo vs. relación), la estructura de la red (clausura vs. intermediación) y a qué nivel se acumulan las recompensas.</w:t>
      </w:r>
      <w:r>
        <w:rPr>
          <w:rFonts w:ascii="Google Sans" w:eastAsia="Google Sans" w:hAnsi="Google Sans" w:cs="Google Sans"/>
          <w:color w:val="444746"/>
          <w:sz w:val="24"/>
          <w:szCs w:val="24"/>
          <w:vertAlign w:val="superscript"/>
        </w:rPr>
        <w:t>37</w:t>
      </w:r>
      <w:r>
        <w:rPr>
          <w:rFonts w:ascii="Google Sans" w:eastAsia="Google Sans" w:hAnsi="Google Sans" w:cs="Google Sans"/>
          <w:color w:val="1F1F1F"/>
        </w:rPr>
        <w:t xml:space="preserve"> Los modelos multinivel de capital social de grupo serán esenciales para entender cómo la eficacia de las comunidades para resistir la violencia depende del balance óptimo entre sus vínculos internos y externos.</w:t>
      </w:r>
      <w:r>
        <w:rPr>
          <w:rFonts w:ascii="Google Sans" w:eastAsia="Google Sans" w:hAnsi="Google Sans" w:cs="Google Sans"/>
          <w:color w:val="444746"/>
          <w:sz w:val="24"/>
          <w:szCs w:val="24"/>
          <w:vertAlign w:val="superscript"/>
        </w:rPr>
        <w:t>38</w:t>
      </w:r>
    </w:p>
    <w:p w14:paraId="4081A2EF" w14:textId="77777777" w:rsidR="002B5502" w:rsidRDefault="00000000">
      <w:pPr>
        <w:pStyle w:val="Ttulo2"/>
        <w:spacing w:before="0" w:after="120" w:line="275" w:lineRule="auto"/>
        <w:rPr>
          <w:rFonts w:ascii="Google Sans" w:eastAsia="Google Sans" w:hAnsi="Google Sans" w:cs="Google Sans"/>
          <w:color w:val="1F1F1F"/>
        </w:rPr>
      </w:pPr>
      <w:r>
        <w:rPr>
          <w:rFonts w:ascii="Google Sans" w:eastAsia="Google Sans" w:hAnsi="Google Sans" w:cs="Google Sans"/>
          <w:color w:val="1F1F1F"/>
        </w:rPr>
        <w:t>Conclusiones</w:t>
      </w:r>
    </w:p>
    <w:p w14:paraId="48547D52" w14:textId="77777777" w:rsidR="002B5502" w:rsidRDefault="00000000">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El modelado de ecuaciones estructurales ha transformado la investigación sobre el conflicto armado al permitir la medición científica de la subjetividad y el impacto social. La validación de herramientas como la escala ETAPS y el uso de análisis multinivel han proporcionado una base empírica para entender la victimización no como un evento aislado, sino como un proceso que altera el curso de vida y las estructuras institucionales. Los hallazgos en Colombia demuestran que, si bien existen programas de atención masivos, las barreras latentes de acceso —como el miedo y el confinamiento— requieren estrategias de intervención que vayan más allá de la provisión de servicios básicos y aborden la reconstrucción de la confianza y el tejido social. La integración futura de modelos longitudinales de alta precisión con análisis de datos masivos permitirá no solo entender las causas del pasado, sino anticipar y mitigar los riesgos de futuras escaladas de violencia, consolidando al SEM como un pilar fundamental en la ciencia de la paz.</w:t>
      </w:r>
    </w:p>
    <w:p w14:paraId="6C588C1A" w14:textId="35195DAF" w:rsidR="002B5502" w:rsidRDefault="00307D33">
      <w:pPr>
        <w:pStyle w:val="Ttulo4"/>
        <w:spacing w:before="0"/>
        <w:rPr>
          <w:rFonts w:ascii="Google Sans" w:eastAsia="Google Sans" w:hAnsi="Google Sans" w:cs="Google Sans"/>
        </w:rPr>
      </w:pPr>
      <w:r>
        <w:rPr>
          <w:rFonts w:ascii="Google Sans" w:eastAsia="Google Sans" w:hAnsi="Google Sans" w:cs="Google Sans"/>
        </w:rPr>
        <w:t>Referencias</w:t>
      </w:r>
    </w:p>
    <w:p w14:paraId="1C03AF11" w14:textId="77777777" w:rsidR="002B5502" w:rsidRPr="00FC036A" w:rsidRDefault="00000000">
      <w:pPr>
        <w:numPr>
          <w:ilvl w:val="0"/>
          <w:numId w:val="1"/>
        </w:numPr>
        <w:pBdr>
          <w:top w:val="nil"/>
          <w:left w:val="nil"/>
          <w:bottom w:val="nil"/>
          <w:right w:val="nil"/>
          <w:between w:val="nil"/>
        </w:pBdr>
        <w:rPr>
          <w:lang w:val="en-US"/>
        </w:rPr>
      </w:pPr>
      <w:r w:rsidRPr="00FC036A">
        <w:rPr>
          <w:rFonts w:ascii="Google Sans" w:eastAsia="Google Sans" w:hAnsi="Google Sans" w:cs="Google Sans"/>
          <w:sz w:val="24"/>
          <w:szCs w:val="24"/>
          <w:lang w:val="en-US"/>
        </w:rPr>
        <w:t xml:space="preserve">(PDF) Modelling Latent Variables in Conflict Research (Extended Abstract) - ResearchGate, fecha de acceso: marzo 26, 2026, </w:t>
      </w:r>
      <w:hyperlink r:id="rId9">
        <w:r w:rsidRPr="00FC036A">
          <w:rPr>
            <w:rFonts w:ascii="Google Sans" w:eastAsia="Google Sans" w:hAnsi="Google Sans" w:cs="Google Sans"/>
            <w:color w:val="0000EE"/>
            <w:sz w:val="24"/>
            <w:szCs w:val="24"/>
            <w:u w:val="single"/>
            <w:lang w:val="en-US"/>
          </w:rPr>
          <w:t>https://www.researchgate.net/publication/331320051_Modelling_Latent_Variables_in_Conflict_Research_Extended_Abstract</w:t>
        </w:r>
      </w:hyperlink>
    </w:p>
    <w:p w14:paraId="545FEF20" w14:textId="77777777" w:rsidR="002B5502"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Modelos de ecuaciones estructurales como técnica de análisis en estudios empíricos - Astra Ediciones, fecha de acceso: marzo 26, 2026, </w:t>
      </w:r>
      <w:hyperlink r:id="rId10">
        <w:r>
          <w:rPr>
            <w:rFonts w:ascii="Google Sans" w:eastAsia="Google Sans" w:hAnsi="Google Sans" w:cs="Google Sans"/>
            <w:color w:val="0000EE"/>
            <w:sz w:val="24"/>
            <w:szCs w:val="24"/>
            <w:u w:val="single"/>
          </w:rPr>
          <w:t>https://astraeditorialshop.com/wp-content/uploads/2025/04/Modelos-de-ecuaciones-estructurales-como-tecnica__.pdf</w:t>
        </w:r>
      </w:hyperlink>
    </w:p>
    <w:p w14:paraId="7F657131" w14:textId="77777777" w:rsidR="002B5502"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Validación de la Escala de Trauma Psicosocial (ETAPS) en una ..., fecha de acceso: marzo 26, 2026, </w:t>
      </w:r>
      <w:hyperlink r:id="rId11">
        <w:r>
          <w:rPr>
            <w:rFonts w:ascii="Google Sans" w:eastAsia="Google Sans" w:hAnsi="Google Sans" w:cs="Google Sans"/>
            <w:color w:val="0000EE"/>
            <w:sz w:val="24"/>
            <w:szCs w:val="24"/>
            <w:u w:val="single"/>
          </w:rPr>
          <w:t>https://perfilesycapacidades.javeriana.edu.co/es/publications/validaci%C3%B3n-de-la-escala-de-trauma-psicosocial-etaps-en-una-muestr/</w:t>
        </w:r>
      </w:hyperlink>
    </w:p>
    <w:p w14:paraId="71B46B72" w14:textId="77777777" w:rsidR="002B5502" w:rsidRPr="00FC036A" w:rsidRDefault="00000000">
      <w:pPr>
        <w:numPr>
          <w:ilvl w:val="0"/>
          <w:numId w:val="1"/>
        </w:numPr>
        <w:pBdr>
          <w:top w:val="nil"/>
          <w:left w:val="nil"/>
          <w:bottom w:val="nil"/>
          <w:right w:val="nil"/>
          <w:between w:val="nil"/>
        </w:pBdr>
        <w:rPr>
          <w:lang w:val="en-US"/>
        </w:rPr>
      </w:pPr>
      <w:r w:rsidRPr="00FC036A">
        <w:rPr>
          <w:rFonts w:ascii="Google Sans" w:eastAsia="Google Sans" w:hAnsi="Google Sans" w:cs="Google Sans"/>
          <w:sz w:val="24"/>
          <w:szCs w:val="24"/>
          <w:lang w:val="en-US"/>
        </w:rPr>
        <w:t xml:space="preserve">Military Exposures Research: A State-of-the-Art Review - PubMed, fecha de acceso: marzo 26, 2026, </w:t>
      </w:r>
      <w:hyperlink r:id="rId12">
        <w:r w:rsidRPr="00FC036A">
          <w:rPr>
            <w:rFonts w:ascii="Google Sans" w:eastAsia="Google Sans" w:hAnsi="Google Sans" w:cs="Google Sans"/>
            <w:color w:val="0000EE"/>
            <w:sz w:val="24"/>
            <w:szCs w:val="24"/>
            <w:u w:val="single"/>
            <w:lang w:val="en-US"/>
          </w:rPr>
          <w:t>https://pubmed.ncbi.nlm.nih.gov/41617203/</w:t>
        </w:r>
      </w:hyperlink>
    </w:p>
    <w:p w14:paraId="318ADDFD" w14:textId="77777777" w:rsidR="002B5502" w:rsidRPr="00FC036A" w:rsidRDefault="00000000">
      <w:pPr>
        <w:numPr>
          <w:ilvl w:val="0"/>
          <w:numId w:val="1"/>
        </w:numPr>
        <w:pBdr>
          <w:top w:val="nil"/>
          <w:left w:val="nil"/>
          <w:bottom w:val="nil"/>
          <w:right w:val="nil"/>
          <w:between w:val="nil"/>
        </w:pBdr>
        <w:rPr>
          <w:lang w:val="en-US"/>
        </w:rPr>
      </w:pPr>
      <w:r w:rsidRPr="00FC036A">
        <w:rPr>
          <w:rFonts w:ascii="Google Sans" w:eastAsia="Google Sans" w:hAnsi="Google Sans" w:cs="Google Sans"/>
          <w:sz w:val="24"/>
          <w:szCs w:val="24"/>
          <w:lang w:val="en-US"/>
        </w:rPr>
        <w:t xml:space="preserve">The role of trauma, social support, and demography on veteran resilience - PMC - NIH, fecha de acceso: marzo 26, 2026, </w:t>
      </w:r>
      <w:hyperlink r:id="rId13">
        <w:r w:rsidRPr="00FC036A">
          <w:rPr>
            <w:rFonts w:ascii="Google Sans" w:eastAsia="Google Sans" w:hAnsi="Google Sans" w:cs="Google Sans"/>
            <w:color w:val="0000EE"/>
            <w:sz w:val="24"/>
            <w:szCs w:val="24"/>
            <w:u w:val="single"/>
            <w:lang w:val="en-US"/>
          </w:rPr>
          <w:t>https://pmc.ncbi.nlm.nih.gov/articles/PMC9116243/</w:t>
        </w:r>
      </w:hyperlink>
    </w:p>
    <w:p w14:paraId="37730A34" w14:textId="77777777" w:rsidR="002B5502" w:rsidRPr="00FC036A" w:rsidRDefault="00000000">
      <w:pPr>
        <w:numPr>
          <w:ilvl w:val="0"/>
          <w:numId w:val="1"/>
        </w:numPr>
        <w:pBdr>
          <w:top w:val="nil"/>
          <w:left w:val="nil"/>
          <w:bottom w:val="nil"/>
          <w:right w:val="nil"/>
          <w:between w:val="nil"/>
        </w:pBdr>
        <w:rPr>
          <w:lang w:val="en-US"/>
        </w:rPr>
      </w:pPr>
      <w:r w:rsidRPr="00FC036A">
        <w:rPr>
          <w:rFonts w:ascii="Google Sans" w:eastAsia="Google Sans" w:hAnsi="Google Sans" w:cs="Google Sans"/>
          <w:sz w:val="24"/>
          <w:szCs w:val="24"/>
          <w:lang w:val="en-US"/>
        </w:rPr>
        <w:t xml:space="preserve">PTSD measurement invariance across subgroups with differing count of trauma types | Request PDF - ResearchGate, fecha de acceso: marzo 26, 2026, </w:t>
      </w:r>
      <w:hyperlink r:id="rId14">
        <w:r w:rsidRPr="00FC036A">
          <w:rPr>
            <w:rFonts w:ascii="Google Sans" w:eastAsia="Google Sans" w:hAnsi="Google Sans" w:cs="Google Sans"/>
            <w:color w:val="0000EE"/>
            <w:sz w:val="24"/>
            <w:szCs w:val="24"/>
            <w:u w:val="single"/>
            <w:lang w:val="en-US"/>
          </w:rPr>
          <w:t>https://www.researchgate.net/publication/323945735_PTSD_measurement_invariance_across_subgroups_with_differing_count_of_trauma_types</w:t>
        </w:r>
      </w:hyperlink>
    </w:p>
    <w:p w14:paraId="535B37D1" w14:textId="77777777" w:rsidR="002B5502"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modelo de ecuaciones estructurales para describir el efecto de - Revistas Cientificas - UNA, fecha de acceso: marzo 26, 2026, </w:t>
      </w:r>
      <w:hyperlink r:id="rId15">
        <w:r>
          <w:rPr>
            <w:rFonts w:ascii="Google Sans" w:eastAsia="Google Sans" w:hAnsi="Google Sans" w:cs="Google Sans"/>
            <w:color w:val="0000EE"/>
            <w:sz w:val="24"/>
            <w:szCs w:val="24"/>
            <w:u w:val="single"/>
          </w:rPr>
          <w:t>https://revistascientificas.una.py/index.php/rcfacen/article/download/1048/1043/2025</w:t>
        </w:r>
      </w:hyperlink>
    </w:p>
    <w:p w14:paraId="6D793F57" w14:textId="77777777" w:rsidR="002B5502" w:rsidRPr="00FC036A" w:rsidRDefault="00000000">
      <w:pPr>
        <w:numPr>
          <w:ilvl w:val="0"/>
          <w:numId w:val="1"/>
        </w:numPr>
        <w:pBdr>
          <w:top w:val="nil"/>
          <w:left w:val="nil"/>
          <w:bottom w:val="nil"/>
          <w:right w:val="nil"/>
          <w:between w:val="nil"/>
        </w:pBdr>
        <w:rPr>
          <w:lang w:val="en-US"/>
        </w:rPr>
      </w:pPr>
      <w:r w:rsidRPr="00FC036A">
        <w:rPr>
          <w:rFonts w:ascii="Google Sans" w:eastAsia="Google Sans" w:hAnsi="Google Sans" w:cs="Google Sans"/>
          <w:sz w:val="24"/>
          <w:szCs w:val="24"/>
          <w:lang w:val="en-US"/>
        </w:rPr>
        <w:t xml:space="preserve">Can Conflict Break Bonds within Society? Exploring the Impact of ..., fecha de acceso: marzo 26, 2026, </w:t>
      </w:r>
      <w:hyperlink r:id="rId16">
        <w:r w:rsidRPr="00FC036A">
          <w:rPr>
            <w:rFonts w:ascii="Google Sans" w:eastAsia="Google Sans" w:hAnsi="Google Sans" w:cs="Google Sans"/>
            <w:color w:val="0000EE"/>
            <w:sz w:val="24"/>
            <w:szCs w:val="24"/>
            <w:u w:val="single"/>
            <w:lang w:val="en-US"/>
          </w:rPr>
          <w:t>https://mpra.ub.uni-muenchen.de/124499/1/MPRA_paper_124499.pdf</w:t>
        </w:r>
      </w:hyperlink>
    </w:p>
    <w:p w14:paraId="5F7FD474" w14:textId="77777777" w:rsidR="002B5502" w:rsidRPr="00FC036A" w:rsidRDefault="00000000">
      <w:pPr>
        <w:numPr>
          <w:ilvl w:val="0"/>
          <w:numId w:val="1"/>
        </w:numPr>
        <w:pBdr>
          <w:top w:val="nil"/>
          <w:left w:val="nil"/>
          <w:bottom w:val="nil"/>
          <w:right w:val="nil"/>
          <w:between w:val="nil"/>
        </w:pBdr>
        <w:rPr>
          <w:lang w:val="en-US"/>
        </w:rPr>
      </w:pPr>
      <w:r w:rsidRPr="00FC036A">
        <w:rPr>
          <w:rFonts w:ascii="Google Sans" w:eastAsia="Google Sans" w:hAnsi="Google Sans" w:cs="Google Sans"/>
          <w:sz w:val="24"/>
          <w:szCs w:val="24"/>
          <w:lang w:val="en-US"/>
        </w:rPr>
        <w:t xml:space="preserve">Predicting Psychological Well-being in Survivors of Armed Conflict ..., fecha de acceso: marzo 26, 2026, </w:t>
      </w:r>
      <w:hyperlink r:id="rId17">
        <w:r w:rsidRPr="00FC036A">
          <w:rPr>
            <w:rFonts w:ascii="Google Sans" w:eastAsia="Google Sans" w:hAnsi="Google Sans" w:cs="Google Sans"/>
            <w:color w:val="0000EE"/>
            <w:sz w:val="24"/>
            <w:szCs w:val="24"/>
            <w:u w:val="single"/>
            <w:lang w:val="en-US"/>
          </w:rPr>
          <w:t>https://www.researchgate.net/publication/362762781_Predicting_Psychological_Well-being_in_Survivors_of_Armed_Conflict_in_Colombia</w:t>
        </w:r>
      </w:hyperlink>
    </w:p>
    <w:p w14:paraId="46065D0D" w14:textId="77777777" w:rsidR="002B5502" w:rsidRPr="00FC036A" w:rsidRDefault="00000000">
      <w:pPr>
        <w:numPr>
          <w:ilvl w:val="0"/>
          <w:numId w:val="1"/>
        </w:numPr>
        <w:pBdr>
          <w:top w:val="nil"/>
          <w:left w:val="nil"/>
          <w:bottom w:val="nil"/>
          <w:right w:val="nil"/>
          <w:between w:val="nil"/>
        </w:pBdr>
        <w:rPr>
          <w:lang w:val="en-US"/>
        </w:rPr>
      </w:pPr>
      <w:r w:rsidRPr="00FC036A">
        <w:rPr>
          <w:rFonts w:ascii="Google Sans" w:eastAsia="Google Sans" w:hAnsi="Google Sans" w:cs="Google Sans"/>
          <w:sz w:val="24"/>
          <w:szCs w:val="24"/>
          <w:lang w:val="en-US"/>
        </w:rPr>
        <w:t xml:space="preserve">Data-driven analysis reveals three archetypes of armed conflicts - EurekAlert!, fecha de acceso: marzo 26, 2026, </w:t>
      </w:r>
      <w:hyperlink r:id="rId18">
        <w:r w:rsidRPr="00FC036A">
          <w:rPr>
            <w:rFonts w:ascii="Google Sans" w:eastAsia="Google Sans" w:hAnsi="Google Sans" w:cs="Google Sans"/>
            <w:color w:val="0000EE"/>
            <w:sz w:val="24"/>
            <w:szCs w:val="24"/>
            <w:u w:val="single"/>
            <w:lang w:val="en-US"/>
          </w:rPr>
          <w:t>https://www.eurekalert.org/news-releases/1113265</w:t>
        </w:r>
      </w:hyperlink>
    </w:p>
    <w:p w14:paraId="7D2C9FAC" w14:textId="77777777" w:rsidR="002B5502" w:rsidRPr="00FC036A" w:rsidRDefault="00000000">
      <w:pPr>
        <w:numPr>
          <w:ilvl w:val="0"/>
          <w:numId w:val="1"/>
        </w:numPr>
        <w:pBdr>
          <w:top w:val="nil"/>
          <w:left w:val="nil"/>
          <w:bottom w:val="nil"/>
          <w:right w:val="nil"/>
          <w:between w:val="nil"/>
        </w:pBdr>
        <w:rPr>
          <w:lang w:val="en-US"/>
        </w:rPr>
      </w:pPr>
      <w:r w:rsidRPr="00FC036A">
        <w:rPr>
          <w:rFonts w:ascii="Google Sans" w:eastAsia="Google Sans" w:hAnsi="Google Sans" w:cs="Google Sans"/>
          <w:sz w:val="24"/>
          <w:szCs w:val="24"/>
          <w:lang w:val="en-US"/>
        </w:rPr>
        <w:t xml:space="preserve">Machine-learning analysis reclassifies armed conflicts into three new archetypes, fecha de acceso: marzo 26, 2026, </w:t>
      </w:r>
      <w:hyperlink r:id="rId19">
        <w:r w:rsidRPr="00FC036A">
          <w:rPr>
            <w:rFonts w:ascii="Google Sans" w:eastAsia="Google Sans" w:hAnsi="Google Sans" w:cs="Google Sans"/>
            <w:color w:val="0000EE"/>
            <w:sz w:val="24"/>
            <w:szCs w:val="24"/>
            <w:u w:val="single"/>
            <w:lang w:val="en-US"/>
          </w:rPr>
          <w:t>https://www.thebrighterside.news/post/machine-learning-analysis-reclassifies-armed-conflicts-into-three-new-archetypes/</w:t>
        </w:r>
      </w:hyperlink>
    </w:p>
    <w:p w14:paraId="33F69587" w14:textId="77777777" w:rsidR="002B5502" w:rsidRPr="00FC036A" w:rsidRDefault="00000000">
      <w:pPr>
        <w:numPr>
          <w:ilvl w:val="0"/>
          <w:numId w:val="1"/>
        </w:numPr>
        <w:pBdr>
          <w:top w:val="nil"/>
          <w:left w:val="nil"/>
          <w:bottom w:val="nil"/>
          <w:right w:val="nil"/>
          <w:between w:val="nil"/>
        </w:pBdr>
        <w:rPr>
          <w:lang w:val="en-US"/>
        </w:rPr>
      </w:pPr>
      <w:r w:rsidRPr="00FC036A">
        <w:rPr>
          <w:rFonts w:ascii="Google Sans" w:eastAsia="Google Sans" w:hAnsi="Google Sans" w:cs="Google Sans"/>
          <w:sz w:val="24"/>
          <w:szCs w:val="24"/>
          <w:lang w:val="en-US"/>
        </w:rPr>
        <w:t xml:space="preserve">(PDF) Assessing the Transformation of Armed Conflict Types: A Dynamic Approach, fecha de acceso: marzo 26, 2026, </w:t>
      </w:r>
      <w:hyperlink r:id="rId20">
        <w:r w:rsidRPr="00FC036A">
          <w:rPr>
            <w:rFonts w:ascii="Google Sans" w:eastAsia="Google Sans" w:hAnsi="Google Sans" w:cs="Google Sans"/>
            <w:color w:val="0000EE"/>
            <w:sz w:val="24"/>
            <w:szCs w:val="24"/>
            <w:u w:val="single"/>
            <w:lang w:val="en-US"/>
          </w:rPr>
          <w:t>https://www.researchgate.net/publication/391559357_Assessing_the_Transformation_of_Armed_Conflict_Types_A_Dynamic_Approach</w:t>
        </w:r>
      </w:hyperlink>
    </w:p>
    <w:p w14:paraId="15D32241" w14:textId="77777777" w:rsidR="002B5502" w:rsidRPr="00FC036A" w:rsidRDefault="00000000">
      <w:pPr>
        <w:numPr>
          <w:ilvl w:val="0"/>
          <w:numId w:val="1"/>
        </w:numPr>
        <w:pBdr>
          <w:top w:val="nil"/>
          <w:left w:val="nil"/>
          <w:bottom w:val="nil"/>
          <w:right w:val="nil"/>
          <w:between w:val="nil"/>
        </w:pBdr>
        <w:rPr>
          <w:lang w:val="en-US"/>
        </w:rPr>
      </w:pPr>
      <w:r w:rsidRPr="00FC036A">
        <w:rPr>
          <w:rFonts w:ascii="Google Sans" w:eastAsia="Google Sans" w:hAnsi="Google Sans" w:cs="Google Sans"/>
          <w:sz w:val="24"/>
          <w:szCs w:val="24"/>
          <w:lang w:val="en-US"/>
        </w:rPr>
        <w:t xml:space="preserve">Validation of the Psychosocial Trauma Scale (ETAPS) in a Sample of Victims of the Armed Conflict in Colombia - Perfiles y Capacidades de la Javeriana, fecha de acceso: marzo 26, 2026, </w:t>
      </w:r>
      <w:hyperlink r:id="rId21">
        <w:r w:rsidRPr="00FC036A">
          <w:rPr>
            <w:rFonts w:ascii="Google Sans" w:eastAsia="Google Sans" w:hAnsi="Google Sans" w:cs="Google Sans"/>
            <w:color w:val="0000EE"/>
            <w:sz w:val="24"/>
            <w:szCs w:val="24"/>
            <w:u w:val="single"/>
            <w:lang w:val="en-US"/>
          </w:rPr>
          <w:t>https://perfilesycapacidades.javeriana.edu.co/en/publications/validaci%C3%B3n-de-la-escala-de-trauma-psicosocial-etaps-en-una-muestr/</w:t>
        </w:r>
      </w:hyperlink>
    </w:p>
    <w:p w14:paraId="5FD5D2A8" w14:textId="77777777" w:rsidR="002B5502" w:rsidRPr="00FC036A" w:rsidRDefault="00000000">
      <w:pPr>
        <w:numPr>
          <w:ilvl w:val="0"/>
          <w:numId w:val="1"/>
        </w:numPr>
        <w:pBdr>
          <w:top w:val="nil"/>
          <w:left w:val="nil"/>
          <w:bottom w:val="nil"/>
          <w:right w:val="nil"/>
          <w:between w:val="nil"/>
        </w:pBdr>
        <w:rPr>
          <w:lang w:val="en-US"/>
        </w:rPr>
      </w:pPr>
      <w:r w:rsidRPr="00FC036A">
        <w:rPr>
          <w:rFonts w:ascii="Google Sans" w:eastAsia="Google Sans" w:hAnsi="Google Sans" w:cs="Google Sans"/>
          <w:sz w:val="24"/>
          <w:szCs w:val="24"/>
          <w:lang w:val="en-US"/>
        </w:rPr>
        <w:t xml:space="preserve">Efficacy of a Primary Care Mental Health Program for Victims of the Armed Conflict in Colombia - ResearchGate, fecha de acceso: marzo 26, 2026, </w:t>
      </w:r>
      <w:hyperlink r:id="rId22">
        <w:r w:rsidRPr="00FC036A">
          <w:rPr>
            <w:rFonts w:ascii="Google Sans" w:eastAsia="Google Sans" w:hAnsi="Google Sans" w:cs="Google Sans"/>
            <w:color w:val="0000EE"/>
            <w:sz w:val="24"/>
            <w:szCs w:val="24"/>
            <w:u w:val="single"/>
            <w:lang w:val="en-US"/>
          </w:rPr>
          <w:t>https://www.researchgate.net/publication/339083197_Efficacy_of_a_primary_care_mental_health_program_for_victims_of_the_armed_conflict_in_Colombia</w:t>
        </w:r>
      </w:hyperlink>
    </w:p>
    <w:p w14:paraId="28FF55F8" w14:textId="77777777" w:rsidR="002B5502" w:rsidRPr="00FC036A" w:rsidRDefault="00000000">
      <w:pPr>
        <w:numPr>
          <w:ilvl w:val="0"/>
          <w:numId w:val="1"/>
        </w:numPr>
        <w:pBdr>
          <w:top w:val="nil"/>
          <w:left w:val="nil"/>
          <w:bottom w:val="nil"/>
          <w:right w:val="nil"/>
          <w:between w:val="nil"/>
        </w:pBdr>
        <w:rPr>
          <w:lang w:val="en-US"/>
        </w:rPr>
      </w:pPr>
      <w:r w:rsidRPr="00FC036A">
        <w:rPr>
          <w:rFonts w:ascii="Google Sans" w:eastAsia="Google Sans" w:hAnsi="Google Sans" w:cs="Google Sans"/>
          <w:sz w:val="24"/>
          <w:szCs w:val="24"/>
          <w:lang w:val="en-US"/>
        </w:rPr>
        <w:t xml:space="preserve">Psychosocial Factors Influencing Resilience in a Sample of Victims ..., fecha de acceso: marzo 26, 2026, </w:t>
      </w:r>
      <w:hyperlink r:id="rId23">
        <w:r w:rsidRPr="00FC036A">
          <w:rPr>
            <w:rFonts w:ascii="Google Sans" w:eastAsia="Google Sans" w:hAnsi="Google Sans" w:cs="Google Sans"/>
            <w:color w:val="0000EE"/>
            <w:sz w:val="24"/>
            <w:szCs w:val="24"/>
            <w:u w:val="single"/>
            <w:lang w:val="en-US"/>
          </w:rPr>
          <w:t>https://www.mdpi.com/2076-328X/15/6/816</w:t>
        </w:r>
      </w:hyperlink>
    </w:p>
    <w:p w14:paraId="6691C3E3" w14:textId="77777777" w:rsidR="002B5502" w:rsidRPr="00FC036A" w:rsidRDefault="00000000">
      <w:pPr>
        <w:numPr>
          <w:ilvl w:val="0"/>
          <w:numId w:val="1"/>
        </w:numPr>
        <w:pBdr>
          <w:top w:val="nil"/>
          <w:left w:val="nil"/>
          <w:bottom w:val="nil"/>
          <w:right w:val="nil"/>
          <w:between w:val="nil"/>
        </w:pBdr>
        <w:rPr>
          <w:lang w:val="en-US"/>
        </w:rPr>
      </w:pPr>
      <w:r w:rsidRPr="00FC036A">
        <w:rPr>
          <w:rFonts w:ascii="Google Sans" w:eastAsia="Google Sans" w:hAnsi="Google Sans" w:cs="Google Sans"/>
          <w:sz w:val="24"/>
          <w:szCs w:val="24"/>
          <w:lang w:val="en-US"/>
        </w:rPr>
        <w:t xml:space="preserve">Understanding resilience in armed conflict: Social resources and mental health of children in Burundi - PMC, fecha de acceso: marzo 26, 2026, </w:t>
      </w:r>
      <w:hyperlink r:id="rId24">
        <w:r w:rsidRPr="00FC036A">
          <w:rPr>
            <w:rFonts w:ascii="Google Sans" w:eastAsia="Google Sans" w:hAnsi="Google Sans" w:cs="Google Sans"/>
            <w:color w:val="0000EE"/>
            <w:sz w:val="24"/>
            <w:szCs w:val="24"/>
            <w:u w:val="single"/>
            <w:lang w:val="en-US"/>
          </w:rPr>
          <w:t>https://pmc.ncbi.nlm.nih.gov/articles/PMC4082029/</w:t>
        </w:r>
      </w:hyperlink>
    </w:p>
    <w:p w14:paraId="0114CF88" w14:textId="77777777" w:rsidR="002B5502" w:rsidRPr="00FC036A" w:rsidRDefault="00000000">
      <w:pPr>
        <w:numPr>
          <w:ilvl w:val="0"/>
          <w:numId w:val="1"/>
        </w:numPr>
        <w:pBdr>
          <w:top w:val="nil"/>
          <w:left w:val="nil"/>
          <w:bottom w:val="nil"/>
          <w:right w:val="nil"/>
          <w:between w:val="nil"/>
        </w:pBdr>
        <w:rPr>
          <w:lang w:val="en-US"/>
        </w:rPr>
      </w:pPr>
      <w:r w:rsidRPr="00FC036A">
        <w:rPr>
          <w:rFonts w:ascii="Google Sans" w:eastAsia="Google Sans" w:hAnsi="Google Sans" w:cs="Google Sans"/>
          <w:sz w:val="24"/>
          <w:szCs w:val="24"/>
          <w:lang w:val="en-US"/>
        </w:rPr>
        <w:t xml:space="preserve">Social Capital and Psychological Resilience in Post-war Iran: A ..., fecha de acceso: marzo 26, 2026, </w:t>
      </w:r>
      <w:hyperlink r:id="rId25">
        <w:r w:rsidRPr="00FC036A">
          <w:rPr>
            <w:rFonts w:ascii="Google Sans" w:eastAsia="Google Sans" w:hAnsi="Google Sans" w:cs="Google Sans"/>
            <w:color w:val="0000EE"/>
            <w:sz w:val="24"/>
            <w:szCs w:val="24"/>
            <w:u w:val="single"/>
            <w:lang w:val="en-US"/>
          </w:rPr>
          <w:t>https://www.researchgate.net/publication/396897768_Social_Capital_and_Psychological_Resilience_in_Post-war_Iran_A_Critical_Review_of_the_Twelve-Day_Conflict</w:t>
        </w:r>
      </w:hyperlink>
    </w:p>
    <w:p w14:paraId="166A55BF" w14:textId="77777777" w:rsidR="002B5502" w:rsidRPr="00FC036A" w:rsidRDefault="00000000">
      <w:pPr>
        <w:numPr>
          <w:ilvl w:val="0"/>
          <w:numId w:val="1"/>
        </w:numPr>
        <w:pBdr>
          <w:top w:val="nil"/>
          <w:left w:val="nil"/>
          <w:bottom w:val="nil"/>
          <w:right w:val="nil"/>
          <w:between w:val="nil"/>
        </w:pBdr>
        <w:rPr>
          <w:lang w:val="en-US"/>
        </w:rPr>
      </w:pPr>
      <w:r w:rsidRPr="00FC036A">
        <w:rPr>
          <w:rFonts w:ascii="Google Sans" w:eastAsia="Google Sans" w:hAnsi="Google Sans" w:cs="Google Sans"/>
          <w:sz w:val="24"/>
          <w:szCs w:val="24"/>
          <w:lang w:val="en-US"/>
        </w:rPr>
        <w:t xml:space="preserve">Trauma and Trust: How War Exposure Shapes Social and Institutional Trust Among Refugees - Frontiers, fecha de acceso: marzo 26, 2026, </w:t>
      </w:r>
      <w:hyperlink r:id="rId26">
        <w:r w:rsidRPr="00FC036A">
          <w:rPr>
            <w:rFonts w:ascii="Google Sans" w:eastAsia="Google Sans" w:hAnsi="Google Sans" w:cs="Google Sans"/>
            <w:color w:val="0000EE"/>
            <w:sz w:val="24"/>
            <w:szCs w:val="24"/>
            <w:u w:val="single"/>
            <w:lang w:val="en-US"/>
          </w:rPr>
          <w:t>https://www.frontiersin.org/journals/psychology/articles/10.3389/fpsyg.2022.786838/full</w:t>
        </w:r>
      </w:hyperlink>
    </w:p>
    <w:p w14:paraId="086842DA" w14:textId="77777777" w:rsidR="002B5502" w:rsidRPr="00FC036A" w:rsidRDefault="00000000">
      <w:pPr>
        <w:numPr>
          <w:ilvl w:val="0"/>
          <w:numId w:val="1"/>
        </w:numPr>
        <w:pBdr>
          <w:top w:val="nil"/>
          <w:left w:val="nil"/>
          <w:bottom w:val="nil"/>
          <w:right w:val="nil"/>
          <w:between w:val="nil"/>
        </w:pBdr>
        <w:rPr>
          <w:lang w:val="en-US"/>
        </w:rPr>
      </w:pPr>
      <w:r w:rsidRPr="00FC036A">
        <w:rPr>
          <w:rFonts w:ascii="Google Sans" w:eastAsia="Google Sans" w:hAnsi="Google Sans" w:cs="Google Sans"/>
          <w:sz w:val="24"/>
          <w:szCs w:val="24"/>
          <w:lang w:val="en-US"/>
        </w:rPr>
        <w:t xml:space="preserve">Detrimental Effects of Corruption and Subjective Well-Being: Whether, How, and When, fecha de acceso: marzo 26, 2026, </w:t>
      </w:r>
      <w:hyperlink r:id="rId27">
        <w:r w:rsidRPr="00FC036A">
          <w:rPr>
            <w:rFonts w:ascii="Google Sans" w:eastAsia="Google Sans" w:hAnsi="Google Sans" w:cs="Google Sans"/>
            <w:color w:val="0000EE"/>
            <w:sz w:val="24"/>
            <w:szCs w:val="24"/>
            <w:u w:val="single"/>
            <w:lang w:val="en-US"/>
          </w:rPr>
          <w:t>https://www.researchgate.net/publication/260407201_Detrimental_Effects_of_Corruption_and_Subjective_Well-Being_Whether_How_and_When</w:t>
        </w:r>
      </w:hyperlink>
    </w:p>
    <w:p w14:paraId="22D96898" w14:textId="77777777" w:rsidR="002B5502"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Análisis multidimensional de las percepciones de seguridad y convivencia ciudadana en Colombia - SciELO, fecha de acceso: marzo 26, 2026, </w:t>
      </w:r>
      <w:hyperlink r:id="rId28">
        <w:r>
          <w:rPr>
            <w:rFonts w:ascii="Google Sans" w:eastAsia="Google Sans" w:hAnsi="Google Sans" w:cs="Google Sans"/>
            <w:color w:val="0000EE"/>
            <w:sz w:val="24"/>
            <w:szCs w:val="24"/>
            <w:u w:val="single"/>
          </w:rPr>
          <w:t>https://www.scielo.br/j/dilemas/a/G3b6BG9HgLdNzSPRyhyqxdn/?lang=pt</w:t>
        </w:r>
      </w:hyperlink>
    </w:p>
    <w:p w14:paraId="098E64AE" w14:textId="77777777" w:rsidR="002B5502"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Briefing on Multilevel Structural Equation Modeling: Concepts ..., fecha de acceso: marzo 26, 2026, </w:t>
      </w:r>
      <w:hyperlink r:id="rId29">
        <w:r>
          <w:rPr>
            <w:rFonts w:ascii="Google Sans" w:eastAsia="Google Sans" w:hAnsi="Google Sans" w:cs="Google Sans"/>
            <w:color w:val="0000EE"/>
            <w:sz w:val="24"/>
            <w:szCs w:val="24"/>
            <w:u w:val="single"/>
          </w:rPr>
          <w:t>https://medium.com/@shukla.vjs/briefing-on-multilevel-structural-equation-modeling-concepts-challenges-and-best-practices-e1b7b8d4e483</w:t>
        </w:r>
      </w:hyperlink>
    </w:p>
    <w:p w14:paraId="36B90DB0" w14:textId="77777777" w:rsidR="002B5502" w:rsidRPr="00FC036A" w:rsidRDefault="00000000">
      <w:pPr>
        <w:numPr>
          <w:ilvl w:val="0"/>
          <w:numId w:val="1"/>
        </w:numPr>
        <w:pBdr>
          <w:top w:val="nil"/>
          <w:left w:val="nil"/>
          <w:bottom w:val="nil"/>
          <w:right w:val="nil"/>
          <w:between w:val="nil"/>
        </w:pBdr>
        <w:rPr>
          <w:lang w:val="en-US"/>
        </w:rPr>
      </w:pPr>
      <w:r w:rsidRPr="00FC036A">
        <w:rPr>
          <w:rFonts w:ascii="Google Sans" w:eastAsia="Google Sans" w:hAnsi="Google Sans" w:cs="Google Sans"/>
          <w:sz w:val="24"/>
          <w:szCs w:val="24"/>
          <w:lang w:val="en-US"/>
        </w:rPr>
        <w:t xml:space="preserve">Cross-Level Group Measurement Invariance When Groups Are at Different Levels of Multilevel Data - PMC, fecha de acceso: marzo 26, 2026, </w:t>
      </w:r>
      <w:hyperlink r:id="rId30">
        <w:r w:rsidRPr="00FC036A">
          <w:rPr>
            <w:rFonts w:ascii="Google Sans" w:eastAsia="Google Sans" w:hAnsi="Google Sans" w:cs="Google Sans"/>
            <w:color w:val="0000EE"/>
            <w:sz w:val="24"/>
            <w:szCs w:val="24"/>
            <w:u w:val="single"/>
            <w:lang w:val="en-US"/>
          </w:rPr>
          <w:t>https://pmc.ncbi.nlm.nih.gov/articles/PMC6293419/</w:t>
        </w:r>
      </w:hyperlink>
    </w:p>
    <w:p w14:paraId="744EEA0B" w14:textId="77777777" w:rsidR="002B5502" w:rsidRPr="00FC036A" w:rsidRDefault="00000000">
      <w:pPr>
        <w:numPr>
          <w:ilvl w:val="0"/>
          <w:numId w:val="1"/>
        </w:numPr>
        <w:pBdr>
          <w:top w:val="nil"/>
          <w:left w:val="nil"/>
          <w:bottom w:val="nil"/>
          <w:right w:val="nil"/>
          <w:between w:val="nil"/>
        </w:pBdr>
        <w:rPr>
          <w:lang w:val="en-US"/>
        </w:rPr>
      </w:pPr>
      <w:r w:rsidRPr="00FC036A">
        <w:rPr>
          <w:rFonts w:ascii="Google Sans" w:eastAsia="Google Sans" w:hAnsi="Google Sans" w:cs="Google Sans"/>
          <w:sz w:val="24"/>
          <w:szCs w:val="24"/>
          <w:lang w:val="en-US"/>
        </w:rPr>
        <w:t xml:space="preserve">Latent Growth Modeling With Domain-Specific Outcomes Comprised of Mixed Response Types in Intervention Studies - PMC, fecha de acceso: marzo 26, 2026, </w:t>
      </w:r>
      <w:hyperlink r:id="rId31">
        <w:r w:rsidRPr="00FC036A">
          <w:rPr>
            <w:rFonts w:ascii="Google Sans" w:eastAsia="Google Sans" w:hAnsi="Google Sans" w:cs="Google Sans"/>
            <w:color w:val="0000EE"/>
            <w:sz w:val="24"/>
            <w:szCs w:val="24"/>
            <w:u w:val="single"/>
            <w:lang w:val="en-US"/>
          </w:rPr>
          <w:t>https://pmc.ncbi.nlm.nih.gov/articles/PMC7322631/</w:t>
        </w:r>
      </w:hyperlink>
    </w:p>
    <w:p w14:paraId="1275AD12" w14:textId="77777777" w:rsidR="002B5502" w:rsidRPr="00FC036A" w:rsidRDefault="00000000">
      <w:pPr>
        <w:numPr>
          <w:ilvl w:val="0"/>
          <w:numId w:val="1"/>
        </w:numPr>
        <w:pBdr>
          <w:top w:val="nil"/>
          <w:left w:val="nil"/>
          <w:bottom w:val="nil"/>
          <w:right w:val="nil"/>
          <w:between w:val="nil"/>
        </w:pBdr>
        <w:rPr>
          <w:lang w:val="en-US"/>
        </w:rPr>
      </w:pPr>
      <w:r w:rsidRPr="00FC036A">
        <w:rPr>
          <w:rFonts w:ascii="Google Sans" w:eastAsia="Google Sans" w:hAnsi="Google Sans" w:cs="Google Sans"/>
          <w:sz w:val="24"/>
          <w:szCs w:val="24"/>
          <w:lang w:val="en-US"/>
        </w:rPr>
        <w:t xml:space="preserve">Latent Growth Curve Analysis | Columbia University Mailman School of Public Health, fecha de acceso: marzo 26, 2026, </w:t>
      </w:r>
      <w:hyperlink r:id="rId32">
        <w:r w:rsidRPr="00FC036A">
          <w:rPr>
            <w:rFonts w:ascii="Google Sans" w:eastAsia="Google Sans" w:hAnsi="Google Sans" w:cs="Google Sans"/>
            <w:color w:val="0000EE"/>
            <w:sz w:val="24"/>
            <w:szCs w:val="24"/>
            <w:u w:val="single"/>
            <w:lang w:val="en-US"/>
          </w:rPr>
          <w:t>https://www.publichealth.columbia.edu/research/population-health-methods/latent-growth-curve-analysis</w:t>
        </w:r>
      </w:hyperlink>
    </w:p>
    <w:p w14:paraId="477D55CB" w14:textId="77777777" w:rsidR="002B5502" w:rsidRPr="00307D33" w:rsidRDefault="00000000">
      <w:pPr>
        <w:numPr>
          <w:ilvl w:val="0"/>
          <w:numId w:val="1"/>
        </w:numPr>
        <w:pBdr>
          <w:top w:val="nil"/>
          <w:left w:val="nil"/>
          <w:bottom w:val="nil"/>
          <w:right w:val="nil"/>
          <w:between w:val="nil"/>
        </w:pBdr>
        <w:rPr>
          <w:lang w:val="en-US"/>
        </w:rPr>
      </w:pPr>
      <w:r w:rsidRPr="00307D33">
        <w:rPr>
          <w:rFonts w:ascii="Google Sans" w:eastAsia="Google Sans" w:hAnsi="Google Sans" w:cs="Google Sans"/>
          <w:sz w:val="24"/>
          <w:szCs w:val="24"/>
          <w:lang w:val="en-US"/>
        </w:rPr>
        <w:t xml:space="preserve">Wednesday April 7, 2010 - Oxford Academic, fecha de acceso: marzo 26, 2026, </w:t>
      </w:r>
      <w:hyperlink r:id="rId33">
        <w:r w:rsidRPr="00307D33">
          <w:rPr>
            <w:rFonts w:ascii="Google Sans" w:eastAsia="Google Sans" w:hAnsi="Google Sans" w:cs="Google Sans"/>
            <w:color w:val="0000EE"/>
            <w:sz w:val="24"/>
            <w:szCs w:val="24"/>
            <w:u w:val="single"/>
            <w:lang w:val="en-US"/>
          </w:rPr>
          <w:t>https://academic.oup.com/abm/article-pdf/39/suppl_1/s1/22068477/12160_2010_article_9169.pdf</w:t>
        </w:r>
      </w:hyperlink>
    </w:p>
    <w:p w14:paraId="2E5126D0" w14:textId="77777777" w:rsidR="002B5502" w:rsidRPr="00307D33" w:rsidRDefault="00000000">
      <w:pPr>
        <w:numPr>
          <w:ilvl w:val="0"/>
          <w:numId w:val="1"/>
        </w:numPr>
        <w:pBdr>
          <w:top w:val="nil"/>
          <w:left w:val="nil"/>
          <w:bottom w:val="nil"/>
          <w:right w:val="nil"/>
          <w:between w:val="nil"/>
        </w:pBdr>
        <w:rPr>
          <w:lang w:val="en-US"/>
        </w:rPr>
      </w:pPr>
      <w:r w:rsidRPr="00307D33">
        <w:rPr>
          <w:rFonts w:ascii="Google Sans" w:eastAsia="Google Sans" w:hAnsi="Google Sans" w:cs="Google Sans"/>
          <w:sz w:val="24"/>
          <w:szCs w:val="24"/>
          <w:lang w:val="en-US"/>
        </w:rPr>
        <w:t xml:space="preserve">Armed conflict exposure types are not equally associated with ..., fecha de acceso: marzo 26, 2026, </w:t>
      </w:r>
      <w:hyperlink r:id="rId34">
        <w:r w:rsidRPr="00307D33">
          <w:rPr>
            <w:rFonts w:ascii="Google Sans" w:eastAsia="Google Sans" w:hAnsi="Google Sans" w:cs="Google Sans"/>
            <w:color w:val="0000EE"/>
            <w:sz w:val="24"/>
            <w:szCs w:val="24"/>
            <w:u w:val="single"/>
            <w:lang w:val="en-US"/>
          </w:rPr>
          <w:t>https://pmc.ncbi.nlm.nih.gov/articles/PMC12547036/</w:t>
        </w:r>
      </w:hyperlink>
    </w:p>
    <w:p w14:paraId="7A4AB9C6" w14:textId="77777777" w:rsidR="002B5502"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Salud Mental como estado de bienestar en jóvenes retornados y reubicados: el papel del trauma psicosocial y las estrategias de afrontamiento individual - Uninorte, fecha de acceso: marzo 26, 2026, </w:t>
      </w:r>
      <w:hyperlink r:id="rId35">
        <w:r>
          <w:rPr>
            <w:rFonts w:ascii="Google Sans" w:eastAsia="Google Sans" w:hAnsi="Google Sans" w:cs="Google Sans"/>
            <w:color w:val="0000EE"/>
            <w:sz w:val="24"/>
            <w:szCs w:val="24"/>
            <w:u w:val="single"/>
          </w:rPr>
          <w:t>https://manglar.uninorte.edu.co/bitstream/handle/10584/11155/55302646.pdf?sequence=1&amp;isAllowed=y</w:t>
        </w:r>
      </w:hyperlink>
    </w:p>
    <w:p w14:paraId="1FC5D452" w14:textId="77777777" w:rsidR="002B5502" w:rsidRPr="00307D33" w:rsidRDefault="00000000">
      <w:pPr>
        <w:numPr>
          <w:ilvl w:val="0"/>
          <w:numId w:val="1"/>
        </w:numPr>
        <w:pBdr>
          <w:top w:val="nil"/>
          <w:left w:val="nil"/>
          <w:bottom w:val="nil"/>
          <w:right w:val="nil"/>
          <w:between w:val="nil"/>
        </w:pBdr>
        <w:rPr>
          <w:lang w:val="en-US"/>
        </w:rPr>
      </w:pPr>
      <w:r w:rsidRPr="00307D33">
        <w:rPr>
          <w:rFonts w:ascii="Google Sans" w:eastAsia="Google Sans" w:hAnsi="Google Sans" w:cs="Google Sans"/>
          <w:sz w:val="24"/>
          <w:szCs w:val="24"/>
          <w:lang w:val="en-US"/>
        </w:rPr>
        <w:t xml:space="preserve">Measuring Subjective Resilience in Colombian Students in the Horizon of Social Adversity - Dialnet, fecha de acceso: marzo 26, 2026, </w:t>
      </w:r>
      <w:hyperlink r:id="rId36">
        <w:r w:rsidRPr="00307D33">
          <w:rPr>
            <w:rFonts w:ascii="Google Sans" w:eastAsia="Google Sans" w:hAnsi="Google Sans" w:cs="Google Sans"/>
            <w:color w:val="0000EE"/>
            <w:sz w:val="24"/>
            <w:szCs w:val="24"/>
            <w:u w:val="single"/>
            <w:lang w:val="en-US"/>
          </w:rPr>
          <w:t>https://dialnet.unirioja.es/descarga/articulo/8353931.pdf</w:t>
        </w:r>
      </w:hyperlink>
    </w:p>
    <w:p w14:paraId="036F1D24" w14:textId="77777777" w:rsidR="002B5502"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Determinantes espaciales y socioeconómicos de la percepción de la inseguridad en las UPZ de Bogotá (2021). Cristhian Camilo C - Universidad Distrital, fecha de </w:t>
      </w:r>
      <w:r>
        <w:rPr>
          <w:rFonts w:ascii="Google Sans" w:eastAsia="Google Sans" w:hAnsi="Google Sans" w:cs="Google Sans"/>
          <w:sz w:val="24"/>
          <w:szCs w:val="24"/>
        </w:rPr>
        <w:lastRenderedPageBreak/>
        <w:t xml:space="preserve">acceso: marzo 26, 2026, </w:t>
      </w:r>
      <w:hyperlink r:id="rId37">
        <w:r>
          <w:rPr>
            <w:rFonts w:ascii="Google Sans" w:eastAsia="Google Sans" w:hAnsi="Google Sans" w:cs="Google Sans"/>
            <w:color w:val="0000EE"/>
            <w:sz w:val="24"/>
            <w:szCs w:val="24"/>
            <w:u w:val="single"/>
          </w:rPr>
          <w:t>https://repository.udistrital.edu.co/bitstreams/e3c4b21d-f833-4be1-91ed-af49846e8add/download</w:t>
        </w:r>
      </w:hyperlink>
    </w:p>
    <w:p w14:paraId="58BDAF44" w14:textId="77777777" w:rsidR="002B5502" w:rsidRDefault="00000000">
      <w:pPr>
        <w:numPr>
          <w:ilvl w:val="0"/>
          <w:numId w:val="1"/>
        </w:numPr>
        <w:pBdr>
          <w:top w:val="nil"/>
          <w:left w:val="nil"/>
          <w:bottom w:val="nil"/>
          <w:right w:val="nil"/>
          <w:between w:val="nil"/>
        </w:pBdr>
      </w:pPr>
      <w:r>
        <w:rPr>
          <w:rFonts w:ascii="Google Sans" w:eastAsia="Google Sans" w:hAnsi="Google Sans" w:cs="Google Sans"/>
          <w:sz w:val="24"/>
          <w:szCs w:val="24"/>
        </w:rPr>
        <w:t xml:space="preserve">(PDF) Violence Exposure, Aggressive Cognitions &amp; Externalizing ..., fecha de acceso: marzo 26, 2026, </w:t>
      </w:r>
      <w:hyperlink r:id="rId38">
        <w:r>
          <w:rPr>
            <w:rFonts w:ascii="Google Sans" w:eastAsia="Google Sans" w:hAnsi="Google Sans" w:cs="Google Sans"/>
            <w:color w:val="0000EE"/>
            <w:sz w:val="24"/>
            <w:szCs w:val="24"/>
            <w:u w:val="single"/>
          </w:rPr>
          <w:t>https://www.researchgate.net/publication/351822470_Violence_Exposure_Aggressive_Cognitions_Externalizing_Behaviors_among_Colombian_Youth_The_Moderating_Role_of_Community_Belongingness</w:t>
        </w:r>
      </w:hyperlink>
    </w:p>
    <w:p w14:paraId="7FF99E96" w14:textId="77777777" w:rsidR="002B5502" w:rsidRPr="00307D33" w:rsidRDefault="00000000">
      <w:pPr>
        <w:numPr>
          <w:ilvl w:val="0"/>
          <w:numId w:val="1"/>
        </w:numPr>
        <w:pBdr>
          <w:top w:val="nil"/>
          <w:left w:val="nil"/>
          <w:bottom w:val="nil"/>
          <w:right w:val="nil"/>
          <w:between w:val="nil"/>
        </w:pBdr>
        <w:rPr>
          <w:lang w:val="en-US"/>
        </w:rPr>
      </w:pPr>
      <w:r w:rsidRPr="00307D33">
        <w:rPr>
          <w:rFonts w:ascii="Google Sans" w:eastAsia="Google Sans" w:hAnsi="Google Sans" w:cs="Google Sans"/>
          <w:sz w:val="24"/>
          <w:szCs w:val="24"/>
          <w:lang w:val="en-US"/>
        </w:rPr>
        <w:t xml:space="preserve">Addressing recall bias in (post-)conflict data collection and analysis, fecha de acceso: marzo 26, 2026, </w:t>
      </w:r>
      <w:hyperlink r:id="rId39">
        <w:r w:rsidRPr="00307D33">
          <w:rPr>
            <w:rFonts w:ascii="Google Sans" w:eastAsia="Google Sans" w:hAnsi="Google Sans" w:cs="Google Sans"/>
            <w:color w:val="0000EE"/>
            <w:sz w:val="24"/>
            <w:szCs w:val="24"/>
            <w:u w:val="single"/>
            <w:lang w:val="en-US"/>
          </w:rPr>
          <w:t>https://d-nb.info/1260914623/34</w:t>
        </w:r>
      </w:hyperlink>
    </w:p>
    <w:p w14:paraId="2645ED5C" w14:textId="77777777" w:rsidR="002B5502" w:rsidRPr="00307D33" w:rsidRDefault="00000000">
      <w:pPr>
        <w:numPr>
          <w:ilvl w:val="0"/>
          <w:numId w:val="1"/>
        </w:numPr>
        <w:pBdr>
          <w:top w:val="nil"/>
          <w:left w:val="nil"/>
          <w:bottom w:val="nil"/>
          <w:right w:val="nil"/>
          <w:between w:val="nil"/>
        </w:pBdr>
        <w:rPr>
          <w:lang w:val="en-US"/>
        </w:rPr>
      </w:pPr>
      <w:r w:rsidRPr="00307D33">
        <w:rPr>
          <w:rFonts w:ascii="Google Sans" w:eastAsia="Google Sans" w:hAnsi="Google Sans" w:cs="Google Sans"/>
          <w:sz w:val="24"/>
          <w:szCs w:val="24"/>
          <w:lang w:val="en-US"/>
        </w:rPr>
        <w:t xml:space="preserve">Collecting Survey Data during Armed Conflict - PMC - NIH, fecha de acceso: marzo 26, 2026, </w:t>
      </w:r>
      <w:hyperlink r:id="rId40">
        <w:r w:rsidRPr="00307D33">
          <w:rPr>
            <w:rFonts w:ascii="Google Sans" w:eastAsia="Google Sans" w:hAnsi="Google Sans" w:cs="Google Sans"/>
            <w:color w:val="0000EE"/>
            <w:sz w:val="24"/>
            <w:szCs w:val="24"/>
            <w:u w:val="single"/>
            <w:lang w:val="en-US"/>
          </w:rPr>
          <w:t>https://pmc.ncbi.nlm.nih.gov/articles/PMC3571111/</w:t>
        </w:r>
      </w:hyperlink>
    </w:p>
    <w:p w14:paraId="63AFA87A" w14:textId="77777777" w:rsidR="002B5502" w:rsidRPr="00307D33" w:rsidRDefault="00000000">
      <w:pPr>
        <w:numPr>
          <w:ilvl w:val="0"/>
          <w:numId w:val="1"/>
        </w:numPr>
        <w:pBdr>
          <w:top w:val="nil"/>
          <w:left w:val="nil"/>
          <w:bottom w:val="nil"/>
          <w:right w:val="nil"/>
          <w:between w:val="nil"/>
        </w:pBdr>
        <w:rPr>
          <w:lang w:val="en-US"/>
        </w:rPr>
      </w:pPr>
      <w:r w:rsidRPr="00307D33">
        <w:rPr>
          <w:rFonts w:ascii="Google Sans" w:eastAsia="Google Sans" w:hAnsi="Google Sans" w:cs="Google Sans"/>
          <w:sz w:val="24"/>
          <w:szCs w:val="24"/>
          <w:lang w:val="en-US"/>
        </w:rPr>
        <w:t xml:space="preserve">The Challenges of Data Collection in Conflict-affected Areas: A Case Study in the Liptako-Gourma Region - LASDEL, fecha de acceso: marzo 26, 2026, </w:t>
      </w:r>
      <w:hyperlink r:id="rId41">
        <w:r w:rsidRPr="00307D33">
          <w:rPr>
            <w:rFonts w:ascii="Google Sans" w:eastAsia="Google Sans" w:hAnsi="Google Sans" w:cs="Google Sans"/>
            <w:color w:val="0000EE"/>
            <w:sz w:val="24"/>
            <w:szCs w:val="24"/>
            <w:u w:val="single"/>
            <w:lang w:val="en-US"/>
          </w:rPr>
          <w:t>https://lasdel.net/docs/2023/02/sipriinsight2207_data_collection_1.pdf</w:t>
        </w:r>
      </w:hyperlink>
    </w:p>
    <w:p w14:paraId="64DF4A27" w14:textId="77777777" w:rsidR="002B5502" w:rsidRPr="00307D33" w:rsidRDefault="00000000">
      <w:pPr>
        <w:numPr>
          <w:ilvl w:val="0"/>
          <w:numId w:val="1"/>
        </w:numPr>
        <w:pBdr>
          <w:top w:val="nil"/>
          <w:left w:val="nil"/>
          <w:bottom w:val="nil"/>
          <w:right w:val="nil"/>
          <w:between w:val="nil"/>
        </w:pBdr>
        <w:rPr>
          <w:lang w:val="en-US"/>
        </w:rPr>
      </w:pPr>
      <w:r w:rsidRPr="00307D33">
        <w:rPr>
          <w:rFonts w:ascii="Google Sans" w:eastAsia="Google Sans" w:hAnsi="Google Sans" w:cs="Google Sans"/>
          <w:sz w:val="24"/>
          <w:szCs w:val="24"/>
          <w:lang w:val="en-US"/>
        </w:rPr>
        <w:t xml:space="preserve">Understanding Sexual Violence in the Colombian Armed Conflict: Victim Characteristics, Spatial Clustering, and Temporal Contagion - medRxiv, fecha de acceso: marzo 26, 2026, </w:t>
      </w:r>
      <w:hyperlink r:id="rId42">
        <w:r w:rsidRPr="00307D33">
          <w:rPr>
            <w:rFonts w:ascii="Google Sans" w:eastAsia="Google Sans" w:hAnsi="Google Sans" w:cs="Google Sans"/>
            <w:color w:val="0000EE"/>
            <w:sz w:val="24"/>
            <w:szCs w:val="24"/>
            <w:u w:val="single"/>
            <w:lang w:val="en-US"/>
          </w:rPr>
          <w:t>https://www.medrxiv.org/content/10.1101/2025.11.12.25340057v2.full.pdf</w:t>
        </w:r>
      </w:hyperlink>
    </w:p>
    <w:p w14:paraId="652CA158" w14:textId="77777777" w:rsidR="002B5502" w:rsidRPr="00307D33" w:rsidRDefault="00000000">
      <w:pPr>
        <w:numPr>
          <w:ilvl w:val="0"/>
          <w:numId w:val="1"/>
        </w:numPr>
        <w:pBdr>
          <w:top w:val="nil"/>
          <w:left w:val="nil"/>
          <w:bottom w:val="nil"/>
          <w:right w:val="nil"/>
          <w:between w:val="nil"/>
        </w:pBdr>
        <w:rPr>
          <w:lang w:val="en-US"/>
        </w:rPr>
      </w:pPr>
      <w:r w:rsidRPr="00307D33">
        <w:rPr>
          <w:rFonts w:ascii="Google Sans" w:eastAsia="Google Sans" w:hAnsi="Google Sans" w:cs="Google Sans"/>
          <w:sz w:val="24"/>
          <w:szCs w:val="24"/>
          <w:lang w:val="en-US"/>
        </w:rPr>
        <w:t xml:space="preserve">The problem of algorithmic bias in AI-based military decision support systems, fecha de acceso: marzo 26, 2026, </w:t>
      </w:r>
      <w:hyperlink r:id="rId43">
        <w:r w:rsidRPr="00307D33">
          <w:rPr>
            <w:rFonts w:ascii="Google Sans" w:eastAsia="Google Sans" w:hAnsi="Google Sans" w:cs="Google Sans"/>
            <w:color w:val="0000EE"/>
            <w:sz w:val="24"/>
            <w:szCs w:val="24"/>
            <w:u w:val="single"/>
            <w:lang w:val="en-US"/>
          </w:rPr>
          <w:t>https://blogs.icrc.org/law-and-policy/2024/09/03/the-problem-of-algorithmic-bias-in-ai-based-military-decision-support-systems/</w:t>
        </w:r>
      </w:hyperlink>
    </w:p>
    <w:p w14:paraId="7C368B60" w14:textId="77777777" w:rsidR="002B5502" w:rsidRPr="00307D33" w:rsidRDefault="00000000">
      <w:pPr>
        <w:numPr>
          <w:ilvl w:val="0"/>
          <w:numId w:val="1"/>
        </w:numPr>
        <w:pBdr>
          <w:top w:val="nil"/>
          <w:left w:val="nil"/>
          <w:bottom w:val="nil"/>
          <w:right w:val="nil"/>
          <w:between w:val="nil"/>
        </w:pBdr>
        <w:rPr>
          <w:lang w:val="en-US"/>
        </w:rPr>
      </w:pPr>
      <w:r w:rsidRPr="00307D33">
        <w:rPr>
          <w:rFonts w:ascii="Google Sans" w:eastAsia="Google Sans" w:hAnsi="Google Sans" w:cs="Google Sans"/>
          <w:sz w:val="24"/>
          <w:szCs w:val="24"/>
          <w:lang w:val="en-US"/>
        </w:rPr>
        <w:t xml:space="preserve">Bias in Military Artificial Intelligence and Compliance with International Humanitarian Law - SIPRI, fecha de acceso: marzo 26, 2026, </w:t>
      </w:r>
      <w:hyperlink r:id="rId44">
        <w:r w:rsidRPr="00307D33">
          <w:rPr>
            <w:rFonts w:ascii="Google Sans" w:eastAsia="Google Sans" w:hAnsi="Google Sans" w:cs="Google Sans"/>
            <w:color w:val="0000EE"/>
            <w:sz w:val="24"/>
            <w:szCs w:val="24"/>
            <w:u w:val="single"/>
            <w:lang w:val="en-US"/>
          </w:rPr>
          <w:t>https://www.sipri.org/sites/default/files/2025-08/0825_ai_military_bias.pdf</w:t>
        </w:r>
      </w:hyperlink>
    </w:p>
    <w:p w14:paraId="538DDCFB" w14:textId="77777777" w:rsidR="002B5502" w:rsidRPr="00307D33" w:rsidRDefault="00000000">
      <w:pPr>
        <w:numPr>
          <w:ilvl w:val="0"/>
          <w:numId w:val="1"/>
        </w:numPr>
        <w:pBdr>
          <w:top w:val="nil"/>
          <w:left w:val="nil"/>
          <w:bottom w:val="nil"/>
          <w:right w:val="nil"/>
          <w:between w:val="nil"/>
        </w:pBdr>
        <w:rPr>
          <w:lang w:val="en-US"/>
        </w:rPr>
      </w:pPr>
      <w:r w:rsidRPr="00307D33">
        <w:rPr>
          <w:rFonts w:ascii="Google Sans" w:eastAsia="Google Sans" w:hAnsi="Google Sans" w:cs="Google Sans"/>
          <w:sz w:val="24"/>
          <w:szCs w:val="24"/>
          <w:lang w:val="en-US"/>
        </w:rPr>
        <w:t xml:space="preserve">(PDF) Toward a Unified Conceptualization of Social Capital - ResearchGate, fecha de acceso: marzo 26, 2026, </w:t>
      </w:r>
      <w:hyperlink r:id="rId45">
        <w:r w:rsidRPr="00307D33">
          <w:rPr>
            <w:rFonts w:ascii="Google Sans" w:eastAsia="Google Sans" w:hAnsi="Google Sans" w:cs="Google Sans"/>
            <w:color w:val="0000EE"/>
            <w:sz w:val="24"/>
            <w:szCs w:val="24"/>
            <w:u w:val="single"/>
            <w:lang w:val="en-US"/>
          </w:rPr>
          <w:t>https://www.researchgate.net/publication/389806291_Toward_a_Unified_Conceptualization_of_Social_Capital</w:t>
        </w:r>
      </w:hyperlink>
    </w:p>
    <w:p w14:paraId="046373CF" w14:textId="77777777" w:rsidR="002B5502" w:rsidRPr="00307D33" w:rsidRDefault="00000000">
      <w:pPr>
        <w:numPr>
          <w:ilvl w:val="0"/>
          <w:numId w:val="1"/>
        </w:numPr>
        <w:pBdr>
          <w:top w:val="nil"/>
          <w:left w:val="nil"/>
          <w:bottom w:val="nil"/>
          <w:right w:val="nil"/>
          <w:between w:val="nil"/>
        </w:pBdr>
        <w:rPr>
          <w:lang w:val="en-US"/>
        </w:rPr>
      </w:pPr>
      <w:r w:rsidRPr="00307D33">
        <w:rPr>
          <w:rFonts w:ascii="Google Sans" w:eastAsia="Google Sans" w:hAnsi="Google Sans" w:cs="Google Sans"/>
          <w:sz w:val="24"/>
          <w:szCs w:val="24"/>
          <w:lang w:val="en-US"/>
        </w:rPr>
        <w:t xml:space="preserve">A Multilevel Model of Group Social Capital - ResearchGate, fecha de acceso: marzo 26, 2026, </w:t>
      </w:r>
      <w:hyperlink r:id="rId46">
        <w:r w:rsidRPr="00307D33">
          <w:rPr>
            <w:rFonts w:ascii="Google Sans" w:eastAsia="Google Sans" w:hAnsi="Google Sans" w:cs="Google Sans"/>
            <w:color w:val="0000EE"/>
            <w:sz w:val="24"/>
            <w:szCs w:val="24"/>
            <w:u w:val="single"/>
            <w:lang w:val="en-US"/>
          </w:rPr>
          <w:t>https://www.researchgate.net/publication/234021791_A_Multilevel_Model_of_Group_Social_Capital</w:t>
        </w:r>
      </w:hyperlink>
    </w:p>
    <w:sectPr w:rsidR="002B5502" w:rsidRPr="00307D3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D1C39B6-D054-4884-9A1E-E0ECC43C3087}"/>
  </w:font>
  <w:font w:name="Google Sans">
    <w:altName w:val="Calibri"/>
    <w:charset w:val="00"/>
    <w:family w:val="auto"/>
    <w:pitch w:val="default"/>
    <w:embedRegular r:id="rId2" w:fontKey="{B08B72DD-90C3-483C-85DD-D47C3FA554E4}"/>
    <w:embedBold r:id="rId3" w:fontKey="{CEA5B608-2373-48AC-9DC0-2EABABA69652}"/>
  </w:font>
  <w:font w:name="Calibri">
    <w:panose1 w:val="020F0502020204030204"/>
    <w:charset w:val="00"/>
    <w:family w:val="swiss"/>
    <w:pitch w:val="variable"/>
    <w:sig w:usb0="E4002EFF" w:usb1="C200247B" w:usb2="00000009" w:usb3="00000000" w:csb0="000001FF" w:csb1="00000000"/>
    <w:embedRegular r:id="rId4" w:fontKey="{8E462162-1D80-4FD5-A293-72B19C2F688B}"/>
  </w:font>
  <w:font w:name="Cambria">
    <w:panose1 w:val="02040503050406030204"/>
    <w:charset w:val="00"/>
    <w:family w:val="roman"/>
    <w:pitch w:val="variable"/>
    <w:sig w:usb0="E00006FF" w:usb1="420024FF" w:usb2="02000000" w:usb3="00000000" w:csb0="0000019F" w:csb1="00000000"/>
    <w:embedRegular r:id="rId5" w:fontKey="{A602170E-6C26-4951-8CBE-A9DB06C09F6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AB734A"/>
    <w:multiLevelType w:val="multilevel"/>
    <w:tmpl w:val="39527A9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88291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502"/>
    <w:rsid w:val="002B5502"/>
    <w:rsid w:val="00307D33"/>
    <w:rsid w:val="00FC036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3FFF7"/>
  <w15:docId w15:val="{849B11DC-79F9-4F28-AF48-D7E3F4916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9116243/" TargetMode="External"/><Relationship Id="rId18" Type="http://schemas.openxmlformats.org/officeDocument/2006/relationships/hyperlink" Target="https://www.eurekalert.org/news-releases/1113265" TargetMode="External"/><Relationship Id="rId26" Type="http://schemas.openxmlformats.org/officeDocument/2006/relationships/hyperlink" Target="https://www.frontiersin.org/journals/psychology/articles/10.3389/fpsyg.2022.786838/full" TargetMode="External"/><Relationship Id="rId39" Type="http://schemas.openxmlformats.org/officeDocument/2006/relationships/hyperlink" Target="https://d-nb.info/1260914623/34" TargetMode="External"/><Relationship Id="rId21" Type="http://schemas.openxmlformats.org/officeDocument/2006/relationships/hyperlink" Target="https://perfilesycapacidades.javeriana.edu.co/en/publications/validaci%C3%B3n-de-la-escala-de-trauma-psicosocial-etaps-en-una-muestr/" TargetMode="External"/><Relationship Id="rId34" Type="http://schemas.openxmlformats.org/officeDocument/2006/relationships/hyperlink" Target="https://pmc.ncbi.nlm.nih.gov/articles/PMC12547036/" TargetMode="External"/><Relationship Id="rId42" Type="http://schemas.openxmlformats.org/officeDocument/2006/relationships/hyperlink" Target="https://www.medrxiv.org/content/10.1101/2025.11.12.25340057v2.full.pdf" TargetMode="External"/><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mpra.ub.uni-muenchen.de/124499/1/MPRA_paper_124499.pdf" TargetMode="External"/><Relationship Id="rId29" Type="http://schemas.openxmlformats.org/officeDocument/2006/relationships/hyperlink" Target="https://medium.com/@shukla.vjs/briefing-on-multilevel-structural-equation-modeling-concepts-challenges-and-best-practices-e1b7b8d4e48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erfilesycapacidades.javeriana.edu.co/es/publications/validaci%C3%B3n-de-la-escala-de-trauma-psicosocial-etaps-en-una-muestr/" TargetMode="External"/><Relationship Id="rId24" Type="http://schemas.openxmlformats.org/officeDocument/2006/relationships/hyperlink" Target="https://pmc.ncbi.nlm.nih.gov/articles/PMC4082029/" TargetMode="External"/><Relationship Id="rId32" Type="http://schemas.openxmlformats.org/officeDocument/2006/relationships/hyperlink" Target="https://www.publichealth.columbia.edu/research/population-health-methods/latent-growth-curve-analysis" TargetMode="External"/><Relationship Id="rId37" Type="http://schemas.openxmlformats.org/officeDocument/2006/relationships/hyperlink" Target="https://repository.udistrital.edu.co/bitstreams/e3c4b21d-f833-4be1-91ed-af49846e8add/download" TargetMode="External"/><Relationship Id="rId40" Type="http://schemas.openxmlformats.org/officeDocument/2006/relationships/hyperlink" Target="https://pmc.ncbi.nlm.nih.gov/articles/PMC3571111/" TargetMode="External"/><Relationship Id="rId45" Type="http://schemas.openxmlformats.org/officeDocument/2006/relationships/hyperlink" Target="https://www.researchgate.net/publication/389806291_Toward_a_Unified_Conceptualization_of_Social_Capital" TargetMode="External"/><Relationship Id="rId5" Type="http://schemas.openxmlformats.org/officeDocument/2006/relationships/image" Target="media/image1.png"/><Relationship Id="rId15" Type="http://schemas.openxmlformats.org/officeDocument/2006/relationships/hyperlink" Target="https://revistascientificas.una.py/index.php/rcfacen/article/download/1048/1043/2025" TargetMode="External"/><Relationship Id="rId23" Type="http://schemas.openxmlformats.org/officeDocument/2006/relationships/hyperlink" Target="https://www.mdpi.com/2076-328X/15/6/816" TargetMode="External"/><Relationship Id="rId28" Type="http://schemas.openxmlformats.org/officeDocument/2006/relationships/hyperlink" Target="https://www.scielo.br/j/dilemas/a/G3b6BG9HgLdNzSPRyhyqxdn/?lang=pt" TargetMode="External"/><Relationship Id="rId36" Type="http://schemas.openxmlformats.org/officeDocument/2006/relationships/hyperlink" Target="https://dialnet.unirioja.es/descarga/articulo/8353931.pdf" TargetMode="External"/><Relationship Id="rId10" Type="http://schemas.openxmlformats.org/officeDocument/2006/relationships/hyperlink" Target="https://astraeditorialshop.com/wp-content/uploads/2025/04/Modelos-de-ecuaciones-estructurales-como-tecnica__.pdf" TargetMode="External"/><Relationship Id="rId19" Type="http://schemas.openxmlformats.org/officeDocument/2006/relationships/hyperlink" Target="https://www.thebrighterside.news/post/machine-learning-analysis-reclassifies-armed-conflicts-into-three-new-archetypes/" TargetMode="External"/><Relationship Id="rId31" Type="http://schemas.openxmlformats.org/officeDocument/2006/relationships/hyperlink" Target="https://pmc.ncbi.nlm.nih.gov/articles/PMC7322631/" TargetMode="External"/><Relationship Id="rId44" Type="http://schemas.openxmlformats.org/officeDocument/2006/relationships/hyperlink" Target="https://www.sipri.org/sites/default/files/2025-08/0825_ai_military_bias.pdf" TargetMode="External"/><Relationship Id="rId4" Type="http://schemas.openxmlformats.org/officeDocument/2006/relationships/webSettings" Target="webSettings.xml"/><Relationship Id="rId9" Type="http://schemas.openxmlformats.org/officeDocument/2006/relationships/hyperlink" Target="https://www.researchgate.net/publication/331320051_Modelling_Latent_Variables_in_Conflict_Research_Extended_Abstract" TargetMode="External"/><Relationship Id="rId14" Type="http://schemas.openxmlformats.org/officeDocument/2006/relationships/hyperlink" Target="https://www.researchgate.net/publication/323945735_PTSD_measurement_invariance_across_subgroups_with_differing_count_of_trauma_types" TargetMode="External"/><Relationship Id="rId22" Type="http://schemas.openxmlformats.org/officeDocument/2006/relationships/hyperlink" Target="https://www.researchgate.net/publication/339083197_Efficacy_of_a_primary_care_mental_health_program_for_victims_of_the_armed_conflict_in_Colombia" TargetMode="External"/><Relationship Id="rId27" Type="http://schemas.openxmlformats.org/officeDocument/2006/relationships/hyperlink" Target="https://www.researchgate.net/publication/260407201_Detrimental_Effects_of_Corruption_and_Subjective_Well-Being_Whether_How_and_When" TargetMode="External"/><Relationship Id="rId30" Type="http://schemas.openxmlformats.org/officeDocument/2006/relationships/hyperlink" Target="https://pmc.ncbi.nlm.nih.gov/articles/PMC6293419/" TargetMode="External"/><Relationship Id="rId35" Type="http://schemas.openxmlformats.org/officeDocument/2006/relationships/hyperlink" Target="https://manglar.uninorte.edu.co/bitstream/handle/10584/11155/55302646.pdf?sequence=1&amp;isAllowed=y" TargetMode="External"/><Relationship Id="rId43" Type="http://schemas.openxmlformats.org/officeDocument/2006/relationships/hyperlink" Target="https://blogs.icrc.org/law-and-policy/2024/09/03/the-problem-of-algorithmic-bias-in-ai-based-military-decision-support-systems/" TargetMode="External"/><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pubmed.ncbi.nlm.nih.gov/41617203/" TargetMode="External"/><Relationship Id="rId17" Type="http://schemas.openxmlformats.org/officeDocument/2006/relationships/hyperlink" Target="https://www.researchgate.net/publication/362762781_Predicting_Psychological_Well-being_in_Survivors_of_Armed_Conflict_in_Colombia" TargetMode="External"/><Relationship Id="rId25" Type="http://schemas.openxmlformats.org/officeDocument/2006/relationships/hyperlink" Target="https://www.researchgate.net/publication/396897768_Social_Capital_and_Psychological_Resilience_in_Post-war_Iran_A_Critical_Review_of_the_Twelve-Day_Conflict" TargetMode="External"/><Relationship Id="rId33" Type="http://schemas.openxmlformats.org/officeDocument/2006/relationships/hyperlink" Target="https://academic.oup.com/abm/article-pdf/39/suppl_1/s1/22068477/12160_2010_article_9169.pdf" TargetMode="External"/><Relationship Id="rId38" Type="http://schemas.openxmlformats.org/officeDocument/2006/relationships/hyperlink" Target="https://www.researchgate.net/publication/351822470_Violence_Exposure_Aggressive_Cognitions_Externalizing_Behaviors_among_Colombian_Youth_The_Moderating_Role_of_Community_Belongingness" TargetMode="External"/><Relationship Id="rId46" Type="http://schemas.openxmlformats.org/officeDocument/2006/relationships/hyperlink" Target="https://www.researchgate.net/publication/234021791_A_Multilevel_Model_of_Group_Social_Capital" TargetMode="External"/><Relationship Id="rId20" Type="http://schemas.openxmlformats.org/officeDocument/2006/relationships/hyperlink" Target="https://www.researchgate.net/publication/391559357_Assessing_the_Transformation_of_Armed_Conflict_Types_A_Dynamic_Approach" TargetMode="External"/><Relationship Id="rId41" Type="http://schemas.openxmlformats.org/officeDocument/2006/relationships/hyperlink" Target="https://lasdel.net/docs/2023/02/sipriinsight2207_data_collection_1.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TotalTime>
  <Pages>11</Pages>
  <Words>4551</Words>
  <Characters>25032</Characters>
  <Application>Microsoft Office Word</Application>
  <DocSecurity>0</DocSecurity>
  <Lines>208</Lines>
  <Paragraphs>59</Paragraphs>
  <ScaleCrop>false</ScaleCrop>
  <Company/>
  <LinksUpToDate>false</LinksUpToDate>
  <CharactersWithSpaces>29524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Mireya Camacho Celis</cp:lastModifiedBy>
  <cp:revision>3</cp:revision>
  <dcterms:created xsi:type="dcterms:W3CDTF">2026-03-26T16:53:00Z</dcterms:created>
  <dcterms:modified xsi:type="dcterms:W3CDTF">2026-03-27T19:56:00Z</dcterms:modified>
</cp:coreProperties>
</file>