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color w:val="0D2137"/>
          <w:sz w:val="32"/>
          <w:szCs w:val="32"/>
        </w:rPr>
        <w:t xml:space="preserve">Actualizaciones CFH — Post Sesión 3 con Director</w:t>
      </w:r>
    </w:p>
    <w:p>
      <w:pPr>
        <w:spacing w:after="200" w:line="360" w:lineRule="auto"/>
        <w:jc w:val="both"/>
      </w:pPr>
      <w:r>
        <w:rPr>
          <w:rFonts w:ascii="Times New Roman" w:cs="Times New Roman" w:eastAsia="Times New Roman" w:hAnsi="Times New Roman"/>
          <w:color w:val="000000"/>
          <w:sz w:val="22"/>
          <w:szCs w:val="22"/>
        </w:rPr>
        <w:t xml:space="preserve">Este documento contiene las actualizaciones a los Capítulos 2, 4, 5 y 6 derivadas del reporte del director Julián Zuluaga (24 abril 2026). Dos ejes de cambio: (1) recalibración conceptual del ICM — de detector de sinceridad a medida de congruencia entre canales comunicativos — y (2) posicionamiento de CFH frente a HURIDOCS y marcos comparados de documentación en justicia transicional, con énfasis en la replicabilidad global del framework.</w:t>
      </w:r>
    </w:p>
    <w:p>
      <w:pPr>
        <w:spacing w:after="120"/>
      </w:pPr>
      <w:r>
        <w:rPr>
          <w:rFonts w:ascii="Times New Roman" w:cs="Times New Roman" w:eastAsia="Times New Roman" w:hAnsi="Times New Roman"/>
          <w:color w:val="000000"/>
          <w:sz w:val="22"/>
          <w:szCs w:val="22"/>
        </w:rPr>
        <w:t xml:space="preserve"/>
      </w:r>
    </w:p>
    <w:p>
      <w:pPr>
        <w:pStyle w:val="Heading2"/>
        <w:spacing w:after="180" w:before="360"/>
      </w:pPr>
      <w:r>
        <w:rPr>
          <w:rFonts w:ascii="Times New Roman" w:cs="Times New Roman" w:eastAsia="Times New Roman" w:hAnsi="Times New Roman"/>
          <w:b/>
          <w:bCs/>
          <w:color w:val="000000"/>
          <w:sz w:val="28"/>
          <w:szCs w:val="28"/>
        </w:rPr>
        <w:t xml:space="preserve">CAMBIO 1 — Recalibración del ICM: congruencia, no sinceridad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9E6" w:color="auto" w:val="clear"/>
            <w:tcMar>
              <w:top w:type="dxa" w:w="120"/>
              <w:left w:type="dxa" w:w="200"/>
              <w:bottom w:type="dxa" w:w="120"/>
              <w:right w:type="dxa" w:w="200"/>
            </w:tcMar>
          </w:tcPr>
          <w:p>
            <w:pPr>
              <w:spacing w:after="80" w:before="80"/>
              <w:jc w:val="both"/>
            </w:pPr>
            <w:r>
              <w:rPr>
                <w:rFonts w:ascii="Times New Roman" w:cs="Times New Roman" w:eastAsia="Times New Roman" w:hAnsi="Times New Roman"/>
                <w:color w:val="000000"/>
                <w:sz w:val="20"/>
                <w:szCs w:val="20"/>
              </w:rPr>
              <w:t xml:space="preserve">INSTRUCCIÓN: Reemplazar en caps. 4, 5 y 6 toda referencia a 'sinceridad', 'genuinidad individual', 'performativo vs. auténtico' por la formulación recalibrada. El ICM mide congruencia entre canales comunicativos a nivel de corpus — no infiere estados internos de individuos.</w:t>
            </w:r>
          </w:p>
        </w:tc>
      </w:tr>
    </w:tbl>
    <w:p>
      <w:pPr>
        <w:spacing w:after="120"/>
      </w:pPr>
      <w:r>
        <w:rPr>
          <w:rFonts w:ascii="Times New Roman" w:cs="Times New Roman" w:eastAsia="Times New Roman" w:hAnsi="Times New Roman"/>
          <w:color w:val="000000"/>
          <w:sz w:val="22"/>
          <w:szCs w:val="22"/>
        </w:rPr>
        <w:t xml:space="preserve"/>
      </w:r>
    </w:p>
    <w:p>
      <w:pPr>
        <w:pStyle w:val="Heading3"/>
        <w:spacing w:after="120" w:before="240"/>
      </w:pPr>
      <w:r>
        <w:rPr>
          <w:rFonts w:ascii="Times New Roman" w:cs="Times New Roman" w:eastAsia="Times New Roman" w:hAnsi="Times New Roman"/>
          <w:b/>
          <w:bCs/>
          <w:color w:val="595959"/>
          <w:sz w:val="24"/>
          <w:szCs w:val="24"/>
        </w:rPr>
        <w:t xml:space="preserve">Cap. 4 — §4.5.4.4 Índice de Congruencia Multimodal (ICM) — versión recalibrada</w:t>
      </w:r>
    </w:p>
    <w:p>
      <w:pPr>
        <w:spacing w:after="200" w:line="360" w:lineRule="auto"/>
        <w:jc w:val="both"/>
      </w:pPr>
      <w:r>
        <w:rPr>
          <w:rFonts w:ascii="Times New Roman" w:cs="Times New Roman" w:eastAsia="Times New Roman" w:hAnsi="Times New Roman"/>
          <w:color w:val="000000"/>
          <w:sz w:val="22"/>
          <w:szCs w:val="22"/>
        </w:rPr>
        <w:t xml:space="preserve">El Índice de Congruencia Multimodal (ICM) cuantifica la coherencia entre los tres canales comunicativos del compareciente durante el acto de reconocimiento: el canal verbal (distribución léxica REP y distancia semántica al centroide MAFAPO), el canal vocal (pendiente de eGeMAPS — shimmer, jitter, F0) y el canal facial (Action Units MediaPipe — AU1, AU4, AU6, AU12, AU15, AU17). Un ICM alto indica que los tres canales se orientan en la misma dirección — distress y reconocimiento — lo que constituye un patrón de alta congruencia comunicativa. Un ICM bajo indica divergencia entre canales — tipicamente AU12 sonrisa facial alta con distress bajo — lo que constituye un patrón de baja congruencia.</w:t>
      </w:r>
    </w:p>
    <w:p>
      <w:pPr>
        <w:spacing w:after="200" w:line="360" w:lineRule="auto"/>
        <w:jc w:val="both"/>
      </w:pPr>
      <w:r>
        <w:rPr>
          <w:rFonts w:ascii="Times New Roman" w:cs="Times New Roman" w:eastAsia="Times New Roman" w:hAnsi="Times New Roman"/>
          <w:color w:val="000000"/>
          <w:sz w:val="22"/>
          <w:szCs w:val="22"/>
        </w:rPr>
        <w:t xml:space="preserve">Es imprescindible declarar explícitamente los límites epistemológicos del ICM. Conforme a Barrett et al. (2019), las configuraciones faciales no decodifican estados emocionales internos de manera universal ni directa — su lectura es altamente dependiente del contexto cultural, del rol social del hablante y de las normas comunicativas del espacio judicial. Crivelli y Fridlund (2018) demuestran que las expresiones faciales son actos comunicativos contextuales, no lecturas transparentes de estados internos. Reisenzein, Studtmann y Horstmann (2013) confirman que la coherencia entre emoción y expresión es baja incluso en emoción genuina. Por estas razones, el ICM no mide ni pretende medir sinceridad, autenticidad psicológica ni culpa de ningún compareciente. El ICM es una medida de congruencia entre señales comunicativas multimodales a nivel de corpus — una caracterización del patrón discursivo de cada audiencia en relación con las demás, no una evaluación de individuos.</w:t>
      </w:r>
    </w:p>
    <w:p>
      <w:pPr>
        <w:spacing w:after="200" w:line="360" w:lineRule="auto"/>
        <w:jc w:val="both"/>
      </w:pPr>
      <w:r>
        <w:rPr>
          <w:rFonts w:ascii="Times New Roman" w:cs="Times New Roman" w:eastAsia="Times New Roman" w:hAnsi="Times New Roman"/>
          <w:color w:val="000000"/>
          <w:sz w:val="22"/>
          <w:szCs w:val="22"/>
        </w:rPr>
        <w:t xml:space="preserve">Esta recalibración conceptual no debilita la Capa 3 — la alinea con el consenso científico actual y la blinda frente a críticas predecibles en defensa. El hallazgo relevante de la Capa 3 no es 'el General Torres Escalante fue insincero' — afirmación insostenible — sino 'el subcaso Casanare presenta el patrón de menor congruencia entre canales comunicativos del corpus, con dominancia de AU12 sobre el distress facial, en contraste con el subcaso Dabeiba que presenta el patrón de mayor congruencia, posiblemente asociado a la materialidad concreta del acto de reconocimiento (49 fosas físicamente recuperadas)'. Esta es una observación a nivel de corpus, no un juicio sobre individuos.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9E6" w:color="auto" w:val="clear"/>
            <w:tcMar>
              <w:top w:type="dxa" w:w="120"/>
              <w:left w:type="dxa" w:w="200"/>
              <w:bottom w:type="dxa" w:w="120"/>
              <w:right w:type="dxa" w:w="200"/>
            </w:tcMar>
          </w:tcPr>
          <w:p>
            <w:pPr>
              <w:spacing w:after="80" w:before="80"/>
              <w:jc w:val="both"/>
            </w:pPr>
            <w:r>
              <w:rPr>
                <w:rFonts w:ascii="Times New Roman" w:cs="Times New Roman" w:eastAsia="Times New Roman" w:hAnsi="Times New Roman"/>
                <w:color w:val="000000"/>
                <w:sz w:val="20"/>
                <w:szCs w:val="20"/>
              </w:rPr>
              <w:t xml:space="preserve">DISCLAIMER — texto para incluir en Model Card del repositorio y en nota al pie de §5.9: 'El ICM mide marcadores comunicativos multimodales correlacionados con marcos cognitivos de reconocimiento. No infiere sinceridad, culpa, veracidad ni estado emocional interno de ningún compareciente. No debe usarse para decisiones judiciales, administrativas ni de asignación de recursos. Alineado con EU AI Act Art. 5 y Annex III (sistemas de biometría de alto riesgo).'</w:t>
            </w:r>
          </w:p>
        </w:tc>
      </w:tr>
    </w:tbl>
    <w:p>
      <w:pPr>
        <w:spacing w:after="120"/>
      </w:pPr>
      <w:r>
        <w:rPr>
          <w:rFonts w:ascii="Times New Roman" w:cs="Times New Roman" w:eastAsia="Times New Roman" w:hAnsi="Times New Roman"/>
          <w:color w:val="000000"/>
          <w:sz w:val="22"/>
          <w:szCs w:val="22"/>
        </w:rPr>
        <w:t xml:space="preserve"/>
      </w:r>
    </w:p>
    <w:p>
      <w:pPr>
        <w:pStyle w:val="Heading3"/>
        <w:spacing w:after="120" w:before="240"/>
      </w:pPr>
      <w:r>
        <w:rPr>
          <w:rFonts w:ascii="Times New Roman" w:cs="Times New Roman" w:eastAsia="Times New Roman" w:hAnsi="Times New Roman"/>
          <w:b/>
          <w:bCs/>
          <w:color w:val="595959"/>
          <w:sz w:val="24"/>
          <w:szCs w:val="24"/>
        </w:rPr>
        <w:t xml:space="preserve">Cap. 5 — §5.9 ICM — párrafo de apertura recalibrado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8F5F3" w:color="auto" w:val="clear"/>
            <w:tcMar>
              <w:top w:type="dxa" w:w="120"/>
              <w:left w:type="dxa" w:w="200"/>
              <w:bottom w:type="dxa" w:w="120"/>
              <w:right w:type="dxa" w:w="200"/>
            </w:tcMar>
          </w:tcPr>
          <w:p>
            <w:pPr>
              <w:spacing w:after="80" w:before="80"/>
              <w:jc w:val="both"/>
            </w:pPr>
            <w:r>
              <w:rPr>
                <w:rFonts w:ascii="Times New Roman" w:cs="Times New Roman" w:eastAsia="Times New Roman" w:hAnsi="Times New Roman"/>
                <w:color w:val="000000"/>
                <w:sz w:val="20"/>
                <w:szCs w:val="20"/>
              </w:rPr>
              <w:t xml:space="preserve">REEMPLAZAR el primer párrafo de §5.9 por:
'La Capa 3 multimodal del framework CFH mide la congruencia entre los canales comunicativos del compareciente durante el acto de reconocimiento. Es fundamental declarar los límites epistemológicos de este análisis: conforme a Barrett et al. (2019) y Crivelli y Fridlund (2018), las expresiones faciales son actos comunicativos contextuales que no decodifican estados emocionales internos de manera directa ni universal. El ICM no mide sinceridad ni autenticidad psicológica individual. Mide patrones de congruencia entre señales multimodales a nivel de corpus — una caracterización comparativa de las audiencias, no una evaluación de personas.'</w:t>
            </w:r>
          </w:p>
        </w:tc>
      </w:tr>
    </w:tbl>
    <w:p>
      <w:pPr>
        <w:spacing w:after="120"/>
      </w:pPr>
      <w:r>
        <w:rPr>
          <w:rFonts w:ascii="Times New Roman" w:cs="Times New Roman" w:eastAsia="Times New Roman" w:hAnsi="Times New Roman"/>
          <w:color w:val="000000"/>
          <w:sz w:val="22"/>
          <w:szCs w:val="22"/>
        </w:rPr>
        <w:t xml:space="preserve"/>
      </w:r>
    </w:p>
    <w:p>
      <w:pPr>
        <w:pStyle w:val="Heading3"/>
        <w:spacing w:after="120" w:before="240"/>
      </w:pPr>
      <w:r>
        <w:rPr>
          <w:rFonts w:ascii="Times New Roman" w:cs="Times New Roman" w:eastAsia="Times New Roman" w:hAnsi="Times New Roman"/>
          <w:b/>
          <w:bCs/>
          <w:color w:val="595959"/>
          <w:sz w:val="24"/>
          <w:szCs w:val="24"/>
        </w:rPr>
        <w:t xml:space="preserve">Cap. 6 — §6.1.7 Reformulación del hallazgo Capa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8F5F3" w:color="auto" w:val="clear"/>
            <w:tcMar>
              <w:top w:type="dxa" w:w="120"/>
              <w:left w:type="dxa" w:w="200"/>
              <w:bottom w:type="dxa" w:w="120"/>
              <w:right w:type="dxa" w:w="200"/>
            </w:tcMar>
          </w:tcPr>
          <w:p>
            <w:pPr>
              <w:spacing w:after="80" w:before="80"/>
              <w:jc w:val="both"/>
            </w:pPr>
            <w:r>
              <w:rPr>
                <w:rFonts w:ascii="Times New Roman" w:cs="Times New Roman" w:eastAsia="Times New Roman" w:hAnsi="Times New Roman"/>
                <w:color w:val="000000"/>
                <w:sz w:val="20"/>
                <w:szCs w:val="20"/>
              </w:rPr>
              <w:t xml:space="preserve">REEMPLAZAR el segundo párrafo de §6.1.7 (que dice 'La hipótesis inicial de un gradiente simple por rango militar…') por:
'Es fundamental declarar los límites epistemológicos de este hallazgo. Conforme a Barrett et al. (2019), no existe evidencia de que la culpa tenga un display facial discreto universalmente identificable — se manifiesta como patrón de inhibición que varía según contexto cultural, rol social y normas comunicativas del espacio. El ICM no mide sinceridad individual. Mide patrones de congruencia comunicativa a nivel de corpus. El hallazgo correcto es: el subcaso Casanare presenta el patrón de menor congruencia multimodal del corpus (ICM=0.190, dominancia AU12), mientras el subcaso Dabeiba presenta el patrón de mayor congruencia (ICM=0.353, dominancia AU4, alta carga de distress). Esta diferencia correlaciona con la materialidad del acto de reconocimiento en cada subcaso, no con la sinceridad de los comparecientes. Interpretaciones causales requieren validación con segundo anotador y auditoría intersectional conforme a Buolamwini y Gebru (2018).'</w:t>
            </w:r>
          </w:p>
        </w:tc>
      </w:tr>
    </w:tbl>
    <w:p>
      <w:pPr>
        <w:spacing w:after="120"/>
      </w:pPr>
      <w:r>
        <w:rPr>
          <w:rFonts w:ascii="Times New Roman" w:cs="Times New Roman" w:eastAsia="Times New Roman" w:hAnsi="Times New Roman"/>
          <w:color w:val="000000"/>
          <w:sz w:val="22"/>
          <w:szCs w:val="22"/>
        </w:rPr>
        <w:t xml:space="preserve"/>
      </w:r>
    </w:p>
    <w:p>
      <w:pPr>
        <w:spacing w:after="120"/>
      </w:pPr>
      <w:r>
        <w:rPr>
          <w:rFonts w:ascii="Times New Roman" w:cs="Times New Roman" w:eastAsia="Times New Roman" w:hAnsi="Times New Roman"/>
          <w:color w:val="000000"/>
          <w:sz w:val="22"/>
          <w:szCs w:val="22"/>
        </w:rPr>
        <w:t xml:space="preserve"/>
      </w:r>
    </w:p>
    <w:p>
      <w:pPr>
        <w:pStyle w:val="Heading2"/>
        <w:spacing w:after="180" w:before="360"/>
      </w:pPr>
      <w:r>
        <w:rPr>
          <w:rFonts w:ascii="Times New Roman" w:cs="Times New Roman" w:eastAsia="Times New Roman" w:hAnsi="Times New Roman"/>
          <w:b/>
          <w:bCs/>
          <w:color w:val="000000"/>
          <w:sz w:val="28"/>
          <w:szCs w:val="28"/>
        </w:rPr>
        <w:t xml:space="preserve">CAMBIO 2 — Posicionamiento CFH frente a HURIDOCS y marcos comparados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9E6" w:color="auto" w:val="clear"/>
            <w:tcMar>
              <w:top w:type="dxa" w:w="120"/>
              <w:left w:type="dxa" w:w="200"/>
              <w:bottom w:type="dxa" w:w="120"/>
              <w:right w:type="dxa" w:w="200"/>
            </w:tcMar>
          </w:tcPr>
          <w:p>
            <w:pPr>
              <w:spacing w:after="80" w:before="80"/>
              <w:jc w:val="both"/>
            </w:pPr>
            <w:r>
              <w:rPr>
                <w:rFonts w:ascii="Times New Roman" w:cs="Times New Roman" w:eastAsia="Times New Roman" w:hAnsi="Times New Roman"/>
                <w:color w:val="000000"/>
                <w:sz w:val="20"/>
                <w:szCs w:val="20"/>
              </w:rPr>
              <w:t xml:space="preserve">INSTRUCCIÓN: Agregar como nueva §2.4 en Cap. 2 Marco Teórico, y referenciada desde §4.1 Diseño metodológico. Argumento central: CFH complementa HURIDOCS operando en una capa discursiva que los marcos existentes no alcanzan. Juntos constituyen un sistema integrado de documentación y auditoría de la justicia transicional.</w:t>
            </w:r>
          </w:p>
        </w:tc>
      </w:tr>
    </w:tbl>
    <w:p>
      <w:pPr>
        <w:spacing w:after="120"/>
      </w:pPr>
      <w:r>
        <w:rPr>
          <w:rFonts w:ascii="Times New Roman" w:cs="Times New Roman" w:eastAsia="Times New Roman" w:hAnsi="Times New Roman"/>
          <w:color w:val="000000"/>
          <w:sz w:val="22"/>
          <w:szCs w:val="22"/>
        </w:rPr>
        <w:t xml:space="preserve"/>
      </w:r>
    </w:p>
    <w:p>
      <w:pPr>
        <w:pStyle w:val="Heading3"/>
        <w:spacing w:after="120" w:before="240"/>
      </w:pPr>
      <w:r>
        <w:rPr>
          <w:rFonts w:ascii="Times New Roman" w:cs="Times New Roman" w:eastAsia="Times New Roman" w:hAnsi="Times New Roman"/>
          <w:b/>
          <w:bCs/>
          <w:color w:val="595959"/>
          <w:sz w:val="24"/>
          <w:szCs w:val="24"/>
        </w:rPr>
        <w:t xml:space="preserve">Cap. 2 — §2.4 Marcos de documentación en justicia transicional y el aporte CFH (nueva sección)</w:t>
      </w:r>
    </w:p>
    <w:p>
      <w:pPr>
        <w:spacing w:after="200" w:line="360" w:lineRule="auto"/>
        <w:jc w:val="both"/>
      </w:pPr>
      <w:r>
        <w:rPr>
          <w:rFonts w:ascii="Times New Roman" w:cs="Times New Roman" w:eastAsia="Times New Roman" w:hAnsi="Times New Roman"/>
          <w:color w:val="000000"/>
          <w:sz w:val="22"/>
          <w:szCs w:val="22"/>
        </w:rPr>
        <w:t xml:space="preserve">Los marcos internacionales de documentación en justicia transicional constituyen el contexto metodológico en el que se inscribe el framework CFH. El más extendido es HURIDOCS (Human Rights Information and Documentation Systems), organización fundada en 1982 que desarrolla los Events Standard Formats (ESF) — metodología revisada en 2001 y adoptada por organizaciones en más de 38 países (HURIDOCS, 2024). Los ESF estructuran la documentación de violaciones de derechos humanos en cuatro tipos de formatos: entidad (Evento, Persona), rol (Víctima, Perpetrador, Fuente), vínculo y adjunto. La pregunta central de HURIDOCS es: ¿qué pasó, a quién, quién lo hizo y dónde? Esta es la pregunta del archivo de la violación.</w:t>
      </w:r>
    </w:p>
    <w:p>
      <w:pPr>
        <w:spacing w:after="200" w:line="360" w:lineRule="auto"/>
        <w:jc w:val="both"/>
      </w:pPr>
      <w:r>
        <w:rPr>
          <w:rFonts w:ascii="Times New Roman" w:cs="Times New Roman" w:eastAsia="Times New Roman" w:hAnsi="Times New Roman"/>
          <w:color w:val="000000"/>
          <w:sz w:val="22"/>
          <w:szCs w:val="22"/>
        </w:rPr>
        <w:t xml:space="preserve">CFH opera en una capa analítica que HURIDOCS no alcanza y no pretende alcanzar. La pregunta central de CFH es: ¿cómo se habla de lo que pasó en sede judicial, con qué distancia epistémica respecto a las víctimas, y con qué nivel de congruencia entre los canales comunicativos del compareciente? Esta es la pregunta del archivo del proceso de justicia — la auditoría discursiva de la justicia transicional sobre los hechos que HURIDOCS documenta. HURIDOCS y CFH no son metodologías competidoras sino capas complementarias: HURIDOCS provee la estructura del hecho, CFH provee la estructura del relato judicial sobre ese hecho.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c>
          <w:tcPr>
            <w:shd w:fill="0D2137"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Dimensión</w:t>
            </w:r>
          </w:p>
        </w:tc>
        <w:tc>
          <w:tcPr>
            <w:shd w:fill="0D2137"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HURIDOCS / ESF</w:t>
            </w:r>
          </w:p>
        </w:tc>
        <w:tc>
          <w:tcPr>
            <w:shd w:fill="0D2137"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CFH — Hermenéutica Forense Computacional</w:t>
            </w:r>
          </w:p>
        </w:tc>
        <w:tc>
          <w:tcPr>
            <w:shd w:fill="0D2137"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Relación</w:t>
            </w:r>
          </w:p>
        </w:tc>
      </w:tr>
      <w:tr>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Pregunta central</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¿Qué pasó, a quién, quién lo hizo?</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¿Cómo se habla de lo que pasó en sede judicial y con qué congruencia?</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Complementarias — capas distintas</w:t>
            </w:r>
          </w:p>
        </w:tc>
      </w:tr>
      <w:tr>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Objeto de análisis</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El evento de violación (hechos)</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El discurso judicial sobre la violación (proceso)</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CFH opera sobre el archivo que ESF estructura</w:t>
            </w:r>
          </w:p>
        </w:tc>
      </w:tr>
      <w:tr>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Unidad de análisis</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Violación individual (caso)</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Sección textual / segmento de audio-video (corpus)</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Diferente granularidad</w:t>
            </w:r>
          </w:p>
        </w:tc>
      </w:tr>
      <w:tr>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Metodología</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Documentación estructurada manual / semi-manual</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NLP + diarización + análisis facial computacional</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CFH automatiza a escala</w:t>
            </w:r>
          </w:p>
        </w:tc>
      </w:tr>
      <w:tr>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Modalidades</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Texto estructurado (campos definidos)</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Texto + audio + video (multimodal)</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CFH añade canales no cubiertos por ESF</w:t>
            </w:r>
          </w:p>
        </w:tc>
      </w:tr>
      <w:tr>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Herramienta principal</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Uwazi (HURIDOCS, 2017)</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Pipeline CFH (ConfliBERT, MediaPipe, OpenSMILE)</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Interoperables vía exportación JSON</w:t>
            </w:r>
          </w:p>
        </w:tc>
      </w:tr>
      <w:tr>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Pregunta sobre el perpetrador</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¿Quién cometió el acto?</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¿Con qué patrón comunicativo reconoce su responsabilidad?</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Niveles distintos de la pregunta</w:t>
            </w:r>
          </w:p>
        </w:tc>
      </w:tr>
      <w:tr>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Pregunta sobre la víctima</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¿Quién fue afectado y cómo?</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¿Cuál es la distancia epistémica entre el discurso judicial y la voz de las víctimas?</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CFH mide la brecha que ESF no captura</w:t>
            </w:r>
          </w:p>
        </w:tc>
      </w:tr>
      <w:tr>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Replicabilidad</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Alta — adoptado en 38 países</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Alta — diseñada para cualquier contexto de JT</w:t>
            </w:r>
          </w:p>
        </w:tc>
        <w:tc>
          <w:tcPr>
            <w:shd w:fill="F5F5F5"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Potencial de integración en sistemas ESF</w:t>
            </w:r>
          </w:p>
        </w:tc>
      </w:tr>
      <w:tr>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Estándar internacional</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Sí — reconocido por OHCHR, Amnistía, ICJ</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No — contribución original de la tesis</w:t>
            </w:r>
          </w:p>
        </w:tc>
        <w:tc>
          <w:tcPr>
            <w:shd w:fill="FFFFFF" w:color="auto" w:val="clear"/>
            <w:tcMar>
              <w:top w:type="dxa" w:w="60"/>
              <w:left w:type="dxa" w:w="120"/>
              <w:bottom w:type="dxa" w:w="60"/>
              <w:right w:type="dxa" w:w="120"/>
            </w:tcMar>
          </w:tcPr>
          <w:p>
            <w:pPr>
              <w:spacing w:after="50" w:before="50"/>
            </w:pPr>
            <w:r>
              <w:rPr>
                <w:rFonts w:ascii="Times New Roman" w:cs="Times New Roman" w:eastAsia="Times New Roman" w:hAnsi="Times New Roman"/>
                <w:color w:val="000000"/>
                <w:sz w:val="18"/>
                <w:szCs w:val="18"/>
              </w:rPr>
              <w:t xml:space="preserve">CFH puede proponerse como extensión ESF</w:t>
            </w:r>
          </w:p>
        </w:tc>
      </w:tr>
    </w:tbl>
    <w:p>
      <w:pPr>
        <w:spacing w:after="120"/>
      </w:pPr>
      <w:r>
        <w:rPr>
          <w:rFonts w:ascii="Times New Roman" w:cs="Times New Roman" w:eastAsia="Times New Roman" w:hAnsi="Times New Roman"/>
          <w:color w:val="000000"/>
          <w:sz w:val="22"/>
          <w:szCs w:val="22"/>
        </w:rPr>
        <w:t xml:space="preserve"/>
      </w:r>
    </w:p>
    <w:p>
      <w:pPr>
        <w:spacing w:after="240"/>
        <w:jc w:val="center"/>
      </w:pPr>
      <w:r>
        <w:rPr>
          <w:rFonts w:ascii="Times New Roman" w:cs="Times New Roman" w:eastAsia="Times New Roman" w:hAnsi="Times New Roman"/>
          <w:i/>
          <w:iCs/>
          <w:color w:val="595959"/>
          <w:sz w:val="18"/>
          <w:szCs w:val="18"/>
        </w:rPr>
        <w:t xml:space="preserve">Tabla 2.X. Comparación dimensional HURIDOCS/ESF vs. CFH. Fuentes: HURIDOCS (2001, 2024); framework CFH (esta tesis).</w:t>
      </w:r>
    </w:p>
    <w:p>
      <w:pPr>
        <w:spacing w:after="200" w:line="360" w:lineRule="auto"/>
        <w:jc w:val="both"/>
      </w:pPr>
      <w:r>
        <w:rPr>
          <w:rFonts w:ascii="Times New Roman" w:cs="Times New Roman" w:eastAsia="Times New Roman" w:hAnsi="Times New Roman"/>
          <w:color w:val="000000"/>
          <w:sz w:val="22"/>
          <w:szCs w:val="22"/>
        </w:rPr>
        <w:t xml:space="preserve">La convergencia más relevante entre HURIDOCS y CFH está en la pregunta sobre el perpetrador. Los ESF documentan quién cometió la violación y en qué calidad (perpetrador directo, superior jerárquico, cómplice). CFH añade la pregunta: ¿con qué patrón discursivo y comunicativo ese perpetrador reconoce hoy su responsabilidad ante la justicia transicional? Esta pregunta sobre la calidad del reconocimiento — su distancia epistémica respecto a las víctimas y su congruencia multimodal — es exactamente el vacío que los ESF no están diseñados para capturar, porque su arquitectura está orientada al evento histórico, no al proceso de rendición de cuentas presente.</w:t>
      </w:r>
    </w:p>
    <w:p>
      <w:pPr>
        <w:spacing w:after="200" w:line="360" w:lineRule="auto"/>
        <w:jc w:val="both"/>
      </w:pPr>
      <w:r>
        <w:rPr>
          <w:rFonts w:ascii="Times New Roman" w:cs="Times New Roman" w:eastAsia="Times New Roman" w:hAnsi="Times New Roman"/>
          <w:color w:val="000000"/>
          <w:sz w:val="22"/>
          <w:szCs w:val="22"/>
        </w:rPr>
        <w:t xml:space="preserve">Existen otros marcos comparados de documentación que refuerzan esta lectura. El proyecto Bitter Aloe (Davis y Mattingly, 2019) aplica NLP sobre archivos de la Comisión de la Verdad de Sudáfrica pero permanece en análisis textual mono-modal. Ventana a la Verdad (Sokol et al., WSDM 2025) procesa archivos de la CEV Colombia sin análisis multimodal. La iniciativa HRDAG (Ball, Rodríguez y Rozo, 2018) aplica estimación estadística de víctimas pero no analiza el discurso. En todos estos casos, la pregunta es ¿cuánto o qué pasó? — no ¿cómo se habla de ello con qué congruencia? CFH ocupa ese espacio analítico, y su diseño modular — tres capas independientes, cada una publicable por separado — lo hace replicable a cualquier contexto de justicia transicional donde existan archivos judiciales textuales, auditivos o audiovisuales.</w:t>
      </w:r>
    </w:p>
    <w:p>
      <w:pPr>
        <w:pStyle w:val="Heading3"/>
        <w:spacing w:after="120" w:before="240"/>
      </w:pPr>
      <w:r>
        <w:rPr>
          <w:rFonts w:ascii="Times New Roman" w:cs="Times New Roman" w:eastAsia="Times New Roman" w:hAnsi="Times New Roman"/>
          <w:b/>
          <w:bCs/>
          <w:color w:val="595959"/>
          <w:sz w:val="24"/>
          <w:szCs w:val="24"/>
        </w:rPr>
        <w:t xml:space="preserve">Argumento de replicabilidad global — texto para §4.1 y §6.5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8F5F3" w:color="auto" w:val="clear"/>
            <w:tcMar>
              <w:top w:type="dxa" w:w="120"/>
              <w:left w:type="dxa" w:w="200"/>
              <w:bottom w:type="dxa" w:w="120"/>
              <w:right w:type="dxa" w:w="200"/>
            </w:tcMar>
          </w:tcPr>
          <w:p>
            <w:pPr>
              <w:spacing w:after="80" w:before="80"/>
              <w:jc w:val="both"/>
            </w:pPr>
            <w:r>
              <w:rPr>
                <w:rFonts w:ascii="Times New Roman" w:cs="Times New Roman" w:eastAsia="Times New Roman" w:hAnsi="Times New Roman"/>
                <w:color w:val="000000"/>
                <w:sz w:val="20"/>
                <w:szCs w:val="20"/>
              </w:rPr>
              <w:t xml:space="preserve">AGREGAR al final de §4.1 Diseño metodológico:
'El framework CFH está diseñado con replicabilidad como principio arquitectónico. Las tres capas son independientes: cualquier investigador puede aplicar solo la Capa 1 (análisis léxico-sintáctico) sobre cualquier corpus judicial en español, sin necesidad de las capas vocal o facial. El único prerequisito es un corpus textual de archivos judiciales o testimoniales. La Capa 2 (semántica de embeddings) requiere adicionalmente un modelo de embeddings en el idioma del corpus — se recomienda ConfliBERT-Spanish para conflictos armados, o BETO para contextos más amplios. La Capa 3 requiere video o audio de los testimonios. Esta modularidad hace que CFH sea aplicable a cualquier comisión de verdad o tribunal de justicia transicional en el mundo donde existan archivos digitalizados: TRC Sudáfrica, ECCC Camboya, CONADEP Argentina, CEH Guatemala, ECHR Bosnia, CEV Colombia. La contribución original no es un método ad hoc para el Macrocaso 003 — es un framework general para la auditoría computacional del discurso de justicia transicional, instanciado aquí por primera vez en el Caso 03 JEP.'</w:t>
            </w:r>
          </w:p>
        </w:tc>
      </w:tr>
    </w:tbl>
    <w:p>
      <w:pPr>
        <w:spacing w:after="120"/>
      </w:pPr>
      <w:r>
        <w:rPr>
          <w:rFonts w:ascii="Times New Roman" w:cs="Times New Roman" w:eastAsia="Times New Roman" w:hAnsi="Times New Roman"/>
          <w:color w:val="000000"/>
          <w:sz w:val="22"/>
          <w:szCs w:val="22"/>
        </w:rPr>
        <w:t xml:space="preserve"/>
      </w:r>
    </w:p>
    <w:p>
      <w:pPr>
        <w:pStyle w:val="Heading3"/>
        <w:spacing w:after="120" w:before="240"/>
      </w:pPr>
      <w:r>
        <w:rPr>
          <w:rFonts w:ascii="Times New Roman" w:cs="Times New Roman" w:eastAsia="Times New Roman" w:hAnsi="Times New Roman"/>
          <w:b/>
          <w:bCs/>
          <w:color w:val="595959"/>
          <w:sz w:val="24"/>
          <w:szCs w:val="24"/>
        </w:rPr>
        <w:t xml:space="preserve">Referencias nuevas a agregar al Cap. 2 y Cap. 4</w:t>
      </w:r>
    </w:p>
    <w:p>
      <w:pPr>
        <w:spacing w:after="200" w:line="360" w:lineRule="auto"/>
        <w:jc w:val="both"/>
      </w:pPr>
      <w:r>
        <w:rPr>
          <w:rFonts w:ascii="Times New Roman" w:cs="Times New Roman" w:eastAsia="Times New Roman" w:hAnsi="Times New Roman"/>
          <w:color w:val="000000"/>
          <w:sz w:val="22"/>
          <w:szCs w:val="22"/>
        </w:rPr>
        <w:t xml:space="preserve">Las siguientes referencias son obligatorias tras la revisión del estado del arte y deben integrarse en la bibliografía de la tesis:</w:t>
      </w:r>
    </w:p>
    <w:p>
      <w:pPr>
        <w:spacing w:after="120"/>
        <w:ind w:left="400"/>
      </w:pPr>
      <w:r>
        <w:rPr>
          <w:rFonts w:ascii="Times New Roman" w:cs="Times New Roman" w:eastAsia="Times New Roman" w:hAnsi="Times New Roman"/>
          <w:color w:val="000000"/>
          <w:sz w:val="18"/>
          <w:szCs w:val="18"/>
        </w:rPr>
        <w:t xml:space="preserve">1. Barrett, L. F., Adolphs, R., Marsella, S., Martinez, A. M., y Pollak, S. D. (2019). Emotional Expressions Reconsidered: Challenges to Inferring Emotion From Human Facial Movements. Psychological Science in the Public Interest, 20(1), 1–68.</w:t>
      </w:r>
    </w:p>
    <w:p>
      <w:pPr>
        <w:spacing w:after="120"/>
        <w:ind w:left="400"/>
      </w:pPr>
      <w:r>
        <w:rPr>
          <w:rFonts w:ascii="Times New Roman" w:cs="Times New Roman" w:eastAsia="Times New Roman" w:hAnsi="Times New Roman"/>
          <w:color w:val="000000"/>
          <w:sz w:val="18"/>
          <w:szCs w:val="18"/>
        </w:rPr>
        <w:t xml:space="preserve">2. Buolamwini, J., y Gebru, T. (2018). Gender Shades: Intersectional Accuracy Disparities in Commercial Gender Classification. Proceedings of Machine Learning Research, 81, 1–15.</w:t>
      </w:r>
    </w:p>
    <w:p>
      <w:pPr>
        <w:spacing w:after="120"/>
        <w:ind w:left="400"/>
      </w:pPr>
      <w:r>
        <w:rPr>
          <w:rFonts w:ascii="Times New Roman" w:cs="Times New Roman" w:eastAsia="Times New Roman" w:hAnsi="Times New Roman"/>
          <w:color w:val="000000"/>
          <w:sz w:val="18"/>
          <w:szCs w:val="18"/>
        </w:rPr>
        <w:t xml:space="preserve">3. Crivelli, C., y Fridlund, A. J. (2018). Facial Displays Are Tools for Social Influence. Trends in Cognitive Sciences, 22(5), 388–399.</w:t>
      </w:r>
    </w:p>
    <w:p>
      <w:pPr>
        <w:spacing w:after="120"/>
        <w:ind w:left="400"/>
      </w:pPr>
      <w:r>
        <w:rPr>
          <w:rFonts w:ascii="Times New Roman" w:cs="Times New Roman" w:eastAsia="Times New Roman" w:hAnsi="Times New Roman"/>
          <w:color w:val="000000"/>
          <w:sz w:val="18"/>
          <w:szCs w:val="18"/>
        </w:rPr>
        <w:t xml:space="preserve">4. Dueck, J., Guzmán, M., y Verstappen, B. (Eds.). (2001). HURIDOCS Events Standard Formats: A Tool for Documenting Human Rights Violations (2nd ed.). HURIDOCS.</w:t>
      </w:r>
    </w:p>
    <w:p>
      <w:pPr>
        <w:spacing w:after="120"/>
        <w:ind w:left="400"/>
      </w:pPr>
      <w:r>
        <w:rPr>
          <w:rFonts w:ascii="Times New Roman" w:cs="Times New Roman" w:eastAsia="Times New Roman" w:hAnsi="Times New Roman"/>
          <w:color w:val="000000"/>
          <w:sz w:val="18"/>
          <w:szCs w:val="18"/>
        </w:rPr>
        <w:t xml:space="preserve">5. HURIDOCS. (2024). 2024 at a glance: advancing human rights with collaboration and innovation. https://huridocs.org/</w:t>
      </w:r>
    </w:p>
    <w:p>
      <w:pPr>
        <w:spacing w:after="120"/>
        <w:ind w:left="400"/>
      </w:pPr>
      <w:r>
        <w:rPr>
          <w:rFonts w:ascii="Times New Roman" w:cs="Times New Roman" w:eastAsia="Times New Roman" w:hAnsi="Times New Roman"/>
          <w:color w:val="000000"/>
          <w:sz w:val="18"/>
          <w:szCs w:val="18"/>
        </w:rPr>
        <w:t xml:space="preserve">6. Reisenzein, R., Studtmann, M., y Horstmann, G. (2013). Coherence between Emotion and Facial Expression: Evidence from Laboratory Experiments. Emotion Review, 5(1), 16–23.</w:t>
      </w:r>
    </w:p>
    <w:p>
      <w:pPr>
        <w:spacing w:after="120"/>
        <w:ind w:left="400"/>
      </w:pPr>
      <w:r>
        <w:rPr>
          <w:rFonts w:ascii="Times New Roman" w:cs="Times New Roman" w:eastAsia="Times New Roman" w:hAnsi="Times New Roman"/>
          <w:color w:val="000000"/>
          <w:sz w:val="18"/>
          <w:szCs w:val="18"/>
        </w:rPr>
        <w:t xml:space="preserve">7. Sen, S., et al. (2024). Transfer learning limitations in deception detection: From low-stakes to high-stakes scenarios. Expert Systems with Applications, 213, 119048.</w:t>
      </w:r>
    </w:p>
    <w:p>
      <w:pPr>
        <w:spacing w:after="120"/>
        <w:ind w:left="400"/>
      </w:pPr>
      <w:r>
        <w:rPr>
          <w:rFonts w:ascii="Times New Roman" w:cs="Times New Roman" w:eastAsia="Times New Roman" w:hAnsi="Times New Roman"/>
          <w:color w:val="000000"/>
          <w:sz w:val="18"/>
          <w:szCs w:val="18"/>
        </w:rPr>
        <w:t xml:space="preserve">8. Sosa, C., Gutiérrez-Osorio, C., et al. (2025). Construyendo la verdad: minería de texto y redes lingüísticas en audiencias del Caso 03 de la JEP. arXiv:2504.04325.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2026-04-25T16:26:47.120Z</dcterms:created>
  <dcterms:modified xsi:type="dcterms:W3CDTF">2026-04-25T16:26:47.121Z</dcterms:modified>
</cp:coreProperties>
</file>

<file path=docProps/custom.xml><?xml version="1.0" encoding="utf-8"?>
<Properties xmlns="http://schemas.openxmlformats.org/officeDocument/2006/custom-properties" xmlns:vt="http://schemas.openxmlformats.org/officeDocument/2006/docPropsVTypes"/>
</file>