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Violencia cultural y lenguaje institucional: 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Justicia como reconocimiento: Fraser y Habermas</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Injusticia epistémica: Fricker y extensión multimodal</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análisis de senderos y estadística</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Guía de muestreo multimodal y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es genuino —congruente entre texto, voz y expresión facial— o performativo, medido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
- ¿En qué medida existe disociación entre la injusticia discursiva (DIS) y la injusticia epistémica (IEI) en el corpus, y qué revela esa disociación sobre los límites del reconocimiento formal en el proceso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si el reconocimiento de los comparecientes es genuino —congruente entre texto, voz y rostro— o performativo, operacionalizando así el concepto de reconocimiento genuino de Nancy Fraser.</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del Macrocaso 003 y la primera operacionalización cuantitativa del Índice de Injusticia Epistémica (IEI) en español jurídico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Zehr (justicia restaurativa) y Fricker (injusticia epistémica y hermeneutical gap), y formaliza el framework CFH con sus tres capas, el DIS Score, el IEI y el ICM tri-canal v2. El Capítulo 4 describe la metodología: corpus multimodal, pipeline de procesamiento, taxonomía CFH, extractores léxicos y semánticos, extracción de features acústicas (OpenSMILE eGeMAPS) y faciales (OpenFace 3.0 / MediaPipe FaceLandmarker), guía de muestreo multimodal de tres filtros,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