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 la baja congruencia multimodal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3.5 Injusticia epistémica, decolonialidad y extensión multimodal: el marco de Fricker y sus límites</w:t>
      </w:r>
    </w:p>
    <w:p>
      <w:pPr>
        <w:jc w:val="both"/>
        <w:spacing w:after="160" w:line="340"/>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jc w:val="both"/>
        <w:spacing w:after="160" w:line="340"/>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jc w:val="both"/>
        <w:spacing w:after="160" w:line="340"/>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jc w:val="both"/>
        <w:spacing w:after="160" w:line="340"/>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jc w:val="both"/>
        <w:spacing w:after="160" w:line="340"/>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jc w:val="both"/>
        <w:spacing w:after="160" w:line="340"/>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25 textos reales de comunicados y declaraciones ante la JEP—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jc w:val="both"/>
        <w:spacing w:after="160" w:line="340"/>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(Δ=0.225), combinación que ningún marco monomodal —incluyendo el de Fricker— puede capturar. Esta extensión del marco de Fricker al dominio multimodal, operacionalizada mediante el ICM tri-canal, constituye la contribución teórica más original del presente trabajo.</w:t>
      </w:r>
    </w:p>
    <w:p>
      <w:pPr>
        <w:jc w:val="both"/>
        <w:spacing w:after="80" w:line="340"/>
        <w:ind w:left="400" w:hanging="400"/>
      </w:pPr>
      <w:r>
        <w:rPr>
          <w:sz w:val="20"/>
          <w:szCs w:val="20"/>
          <w:i/>
          <w:color w:val="2E4057"/>
        </w:rPr>
        <w:t xml:space="preserve">Boaventura de Sousa Santos, B. (2009). Una epistemología del Sur: La reinvención del conocimiento y la emancipación social. Buenos Aires: CLACSO / Siglo XXI.</w:t>
      </w:r>
    </w:p>
    <w:p>
      <w:pPr>
        <w:jc w:val="both"/>
        <w:spacing w:after="80" w:line="340"/>
        <w:ind w:left="400" w:hanging="400"/>
      </w:pPr>
      <w:r>
        <w:rPr>
          <w:sz w:val="20"/>
          <w:szCs w:val="20"/>
          <w:i/>
          <w:color w:val="2E4057"/>
        </w:rPr>
        <w:t xml:space="preserve">Castillejo-Cuéllar, A. (2016). Poética de lo Otro: Para una antropología de la guerra, la soledad y el exilio interno en Colombia. Universidad de los Andes.</w:t>
      </w:r>
    </w:p>
    <w:p>
      <w:pPr>
        <w:jc w:val="both"/>
        <w:spacing w:after="80" w:line="340"/>
        <w:ind w:left="400" w:hanging="400"/>
      </w:pPr>
      <w:r>
        <w:rPr>
          <w:sz w:val="20"/>
          <w:szCs w:val="20"/>
          <w:i/>
          <w:color w:val="2E4057"/>
        </w:rPr>
        <w:t xml:space="preserve">Dotson, K. (2011). Tracking Epistemic Violence, Tracking Practices of Silencing. Hypatia, 26(2), 236–257.</w:t>
      </w:r>
    </w:p>
    <w:p>
      <w:pPr>
        <w:jc w:val="both"/>
        <w:spacing w:after="80" w:line="340"/>
        <w:ind w:left="400" w:hanging="400"/>
      </w:pPr>
      <w:r>
        <w:rPr>
          <w:sz w:val="20"/>
          <w:szCs w:val="20"/>
          <w:i/>
          <w:color w:val="2E4057"/>
        </w:rPr>
        <w:t xml:space="preserve">Fricker, M. (2007). Epistemic Injustice: Power and the Ethics of Knowing. Oxford University Press.</w:t>
      </w:r>
    </w:p>
    <w:p>
      <w:pPr>
        <w:jc w:val="both"/>
        <w:spacing w:after="80" w:line="340"/>
        <w:ind w:left="400" w:hanging="400"/>
      </w:pPr>
      <w:r>
        <w:rPr>
          <w:sz w:val="20"/>
          <w:szCs w:val="20"/>
          <w:i/>
          <w:color w:val="2E4057"/>
        </w:rPr>
        <w:t xml:space="preserve">Fricker, M. (2017). Injusticia epistémica. Trad. Ricardo García Pérez. Barcelona: Herder. ISBN 978-84-254-3927-8</w:t>
      </w:r>
    </w:p>
    <w:p>
      <w:pPr>
        <w:jc w:val="both"/>
        <w:spacing w:after="80" w:line="340"/>
        <w:ind w:left="400" w:hanging="400"/>
      </w:pPr>
      <w:r>
        <w:rPr>
          <w:sz w:val="20"/>
          <w:szCs w:val="20"/>
          <w:i/>
          <w:color w:val="2E4057"/>
        </w:rPr>
        <w:t xml:space="preserve">Medina, J. (2013). The Epistemology of Resistance. Oxford University Press.</w:t>
      </w:r>
    </w:p>
    <w:p>
      <w:pPr>
        <w:jc w:val="both"/>
        <w:spacing w:after="80" w:line="340"/>
        <w:ind w:left="400" w:hanging="400"/>
      </w:pPr>
      <w:r>
        <w:rPr>
          <w:sz w:val="20"/>
          <w:szCs w:val="20"/>
          <w:i/>
          <w:color w:val="2E4057"/>
        </w:rPr>
        <w:t xml:space="preserve">Páez, A. y Matida, J. (2022). La injusticia epistémica en el proceso penal. Estudios de Filosofía, 65. Universidad de Antioquia.</w:t>
      </w:r>
    </w:p>
    <w:p>
      <w:pPr>
        <w:jc w:val="both"/>
        <w:spacing w:after="80" w:line="340"/>
        <w:ind w:left="400" w:hanging="400"/>
      </w:pPr>
      <w:r>
        <w:rPr>
          <w:sz w:val="20"/>
          <w:szCs w:val="20"/>
          <w:i/>
          <w:color w:val="2E4057"/>
        </w:rPr>
        <w:t xml:space="preserve">Pohlhaus, G. Jr. (2012). Relational Knowing and Epistemic Injustice. Hypatia, 27(4), 715–735.</w:t>
      </w:r>
    </w:p>
    <w:p>
      <w:pPr>
        <w:jc w:val="both"/>
        <w:spacing w:after="80" w:line="340"/>
        <w:ind w:left="400" w:hanging="400"/>
      </w:pPr>
      <w:r>
        <w:rPr>
          <w:sz w:val="20"/>
          <w:szCs w:val="20"/>
          <w:i/>
          <w:color w:val="2E4057"/>
        </w:rPr>
        <w:t xml:space="preserve">Rojas-Andrade, G., et al. (2025). False Positives in Colombia: State Violence, Ignorance and the Epistemic Struggles of Victims. ERLACS. https://doi.org/10.32992/erlacs.11238</w:t>
      </w:r>
    </w:p>
    <w:p>
      <w:pPr>
        <w:jc w:val="both"/>
        <w:spacing w:after="80" w:line="340"/>
        <w:ind w:left="400" w:hanging="400"/>
      </w:pPr>
      <w:r>
        <w:rPr>
          <w:sz w:val="20"/>
          <w:szCs w:val="20"/>
          <w:i/>
          <w:color w:val="2E4057"/>
        </w:rPr>
        <w:t xml:space="preserve">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congruente?</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OpenFace AUs + head pose,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OpenFace).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OpenFace 3.0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 Un ICM bajo (incongruente) indica baja congruencia multimodal: las palabras expresan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alta y baja congruencia multimodal,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Alta congruencia multimodal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Baja congruencia multimodal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 la alta vs. baja congruencia multimodal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Normal"/>
      </w:pPr>
      <w:r>
        <w:rPr/>
        <w:t xml:space="preserve">La conclusión general del análisis de parsimonia es que el framework CFH produce hallazgos robustos: los resultados principales no son artefactos de la especificación de pesos dentro de rangos metodológicamente plausibles. La versión DIS_v3 empírica es menos estable que DIS_v1 teórica, lo que valida la elección de los pesos habermasianos como especificación principal.</w:t>
      </w:r>
    </w:p>
    <w:p>
      <w:pPr>
        <w:pStyle w:val="Normal"/>
      </w:pPr>
      <w:r>
        <w:rPr/>
        <w:t xml:space="preserve">ICM tri-canal (N=5 subcasos): 114 combinaciones evaluadas. El 75% produce rankings con ρ≥0.90 usando valores normalizados z-score. La correlación rho(DIS, dis_tri)=+0.90 es el resultado más importante: mayor injusticia discursiva predice mayor disociación entre canales. Este análisis es exploratorio por N=5 y no tiene pretensión inferencial estadística.</w:t>
      </w:r>
    </w:p>
    <w:p>
      <w:pPr>
        <w:pStyle w:val="Normal"/>
      </w:pPr>
      <w:r>
        <w:rPr/>
        <w:t xml:space="preserve">IEI Score: 288 combinaciones evaluadas. El 90% produce rankings con ρ≥0.90. Correlación pesos teóricos vs. óptimos empíricos: ρ=1.00 — el IEI está perfectamente calibrado empíricamente. MAFAPO (d=0.570) y CIDH (d=0.543) son los componentes con mayor validación empírica.</w:t>
      </w:r>
    </w:p>
    <w:p>
      <w:pPr>
        <w:pStyle w:val="Normal"/>
      </w:pPr>
      <w:r>
        <w:rPr/>
        <w:t xml:space="preserve">DIS Score (DIS_v1, Corpus C): 90 combinaciones evaluadas. El 89% produce rankings con ρ≥0.90. La condición IEI&gt;DIS de Catatumbo se mantiene en el 100% de las combinaciones. Catatumbo = máxima disociación en el 85% de combinaciones. Los tres componentes son necesarios (leave-one-out: ρ mínima=0.70 al eliminar 1-REP).</w:t>
      </w:r>
    </w:p>
    <w:p>
      <w:pPr>
        <w:pStyle w:val="Normal"/>
      </w:pPr>
      <w:r>
        <w:rPr/>
        <w:t xml:space="preserve">Para evaluar si los hallazgos del framework CFH dependen de la especificación particular de los pesos o son robustos a variaciones plausibles, se realizó un análisis de sensibilidad exhaustivo. El análisis evaluó combinaciones sistemáticas de pesos (paso Δ=0.05) para los tres índices, midiendo la estabilidad de los rankings mediante correlación de Spearman.</w:t>
      </w:r>
    </w:p>
    <w:p>
      <w:pPr>
        <w:pStyle w:val="Heading 3"/>
      </w:pPr>
      <w:r>
        <w:rPr/>
        <w:t xml:space="preserve">§3.7.4 Análisis de parsimonia y robustez del framework CFH</w:t>
      </w:r>
    </w:p>
    <w:p>
      <w:pPr>
        <w:pStyle w:val="Normal"/>
      </w:pPr>
      <w:r>
        <w:rPr/>
        <w:t xml:space="preserve">La no-discriminación de DIS_v1 entre Corpus A y B (d=0.166, p=0.115) es un hallazgo sustantivo, no un fallo del modelo. SA y NV no discriminan entre sistemas porque la supresión de agentividad y la negación de victimización son distorsiones comunicativas constitutivas del lenguaje jurídico-institucional colombiano en general — la hipótesis habermasiana de distorsión estructural del campo jurídico. La brecha entre sistemas es epistémica (IEI: d=0.715, p&lt;0.001), no discursiva-gramatical.</w:t>
      </w:r>
    </w:p>
    <w:p>
      <w:pPr>
        <w:pStyle w:val="Normal"/>
      </w:pPr>
      <w:r>
        <w:rPr/>
        <w:t xml:space="preserve">La versión principal de la tesis es DIS_v1. La parsimonia superior de DIS_v1 (89%) respecto a DIS_v3 empírico (41%) constituye evidencia empírica de que los pesos habermasianos son más estables para el análisis del Corpus C oral que los pesos calculados directamente sobre la variación entre subcasos. El análisis leave-one-out confirma que los tres componentes de DIS_v1 son necesarios: eliminar cualquiera reduce la parsimonia, con la mayor degradación al eliminar 1−REP (ρ=0.70).</w:t>
      </w:r>
    </w:p>
    <w:p>
      <w:pPr>
        <w:pStyle w:val="Normal"/>
      </w:pPr>
      <w:r>
        <w:rPr/>
        <w:t xml:space="preserve">DIS_v3 (versión empírica Corpus C): w_SA=0.555, w_NV=0.342, w_{1-REP}=0.102. Proporcional al rango de variación entre subcasos del Corpus C (SA: 0.442, NV: 0.272, REP: 0.081). Esta versión tiene menor parsimonia que DIS_v1 (41% vs 89% de combinaciones con ρ≥0.90), confirmando que los pesos teóricos son más estables para el análisis del Corpus C que los pesos empíricos.</w:t>
      </w:r>
    </w:p>
    <w:p>
      <w:pPr>
        <w:pStyle w:val="Normal"/>
      </w:pPr>
      <w:r>
        <w:rPr/>
        <w:t xml:space="preserve">DIS_v2 (versión empírica A vs B): w_SA=0.25, w_NV=0.045, w_{1-REP}=0.705. Diseñada para comparar sistemas de justicia. Los pesos son proporcionales al estadístico d de Cohen de cada componente en la comparación Corpus A vs B (d_SA=0.131, d_NV=0.024, d_REP=0.371). Esta versión discrimina significativamente entre sistemas (d=0.481, p=0.0003) pero no es apropiada para el análisis del Corpus C oral, donde REP tiene menor variación entre comparecientes que SA y NV.</w:t>
      </w:r>
    </w:p>
    <w:p>
      <w:pPr>
        <w:pStyle w:val="Normal"/>
      </w:pPr>
      <w:r>
        <w:rPr/>
        <w:t xml:space="preserve">DIS_v1 (versión principal — pesos teóricos): w_SA=0.35, w_NV=0.35, w_{1-REP}=0.30. Diseñada para el análisis del Corpus C oral. Los pesos están determinados por los marcos de Habermas (SA: sinceridad expresiva), Galtung (NV: violencia cultural) y Fraser (1-REP: paridad participativa). El análisis de parsimonia sobre 90 combinaciones de pesos plausibles muestra que el 89% produce rankings de comparecientes con ρ≥0.90 respecto a los pesos teóricos — la mayor robustez de las tres versiones.</w:t>
      </w:r>
    </w:p>
    <w:p>
      <w:pPr>
        <w:pStyle w:val="Normal"/>
      </w:pPr>
      <w:r>
        <w:rPr/>
        <w:t xml:space="preserve">El proceso de validación empírica del DIS Score reveló que los componentes del índice tienen poder discriminante diferenciado según el nivel de análisis al que se aplique. Los indicadores que discriminan entre sistemas de justicia (Corpus A vs B) no son los mismos que discriminan entre comparecientes del Corpus C oral, lo que motivó el desarrollo de tres versiones del DIS Score con propósitos analíticos distintos.</w:t>
      </w:r>
    </w:p>
    <w:p>
      <w:pPr>
        <w:pStyle w:val="Heading 3"/>
      </w:pPr>
      <w:r>
        <w:rPr/>
        <w:t xml:space="preserve">§3.7.3 Tres versiones del DIS Score: calibración adaptativa por nivel de análisis</w:t>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el centroide MAFAPO y el centroide CIDH.
El centroide MAFAPO (v4) se construye a partir de 169 textos de voz directa de víctimas de los falsos positivos organizados en cuatro bloques: (B1) 25 textos del informe MAFAPO «Unidas por la Memoria y la Verdad» (2021); (B2) 15 testimonios de Dejusticia (2024); (B3) 8 párrafos del comunicado conjunto de organizaciones de víctimas — MAFAPO, MOVICE, Colectivo Tejiendo Memorias, CJL, Asociación Minga, CJYC, Observatorio CCEEU, Humanidad Vigente (mayo 2024); y (B4) 102 segmentos de voz directa de familiares extraídos de 11 audiencias de reconocimiento y de observaciones de víctimas del Macrocaso 003 (2022–2026), transcritas con Whisper large-v3 y filtradas por densidad léxica de testimonio directo. Los segmentos del Bloque 4 reciben un peso ponderado mayor (w=1.8) que los textos escritos (w=1.0), por constituir el acto testimonial directo en su contexto de enunciación original — las audiencias JEP — y por coherencia metodológica con la Capa 3 del framework, que analiza esas mismas audiencias mediante el ICM tri-canal.
El centroide CIDH se construye a partir de 25 fragmentos reales de la sentencia Villamizar Durán y otros vs. Colombia (Corte IDH, 2018) y comunicados de la CIDH sobre ejecuciones extrajudiciales en Colombia.
La robustez del centroide MAFAPO v4 se verifica mediante tres criterios: (1) margen de error estadístico de ±7.7% (n=169, fórmula 1/raiz(n)); (2) distancia coseno entre versiones sucesivas Δ=0.0066 — variación presente pero metodológicamente aceptable dado el incremento sustancial de fuentes; y (3) reducción de la correlación entre y₈ y y₉ de r=0.875 (centroide v3b, n=67) a r=0.638 (centroide v4, n=169, p&lt;0.001), lo que confirma que los dos indicadores capturan dimensiones distintas de la injusticia epistémica. Los centroides se construyen como el promedio ponderado de los vectores semánticos de cada corpus de referencia en el espacio de ConfliBERT-Spanish, normalizados a longitud unitaria.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su grado de congruencia multimodal.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Corte IDH — Corte Interamericana de Derechos Humanos. (2018). Caso Villamizar Durán y otros vs. Colombia. Excepción Preliminar, Fondo, Reparaciones y Costas. Serie C No. 364.</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Fraser, N. (2008). Scales of Justice: Reimagining Political Space in a Globalizing World. Columbia University Press.</w:t>
      </w:r>
    </w:p>
    <w:p>
      <w:pPr>
        <w:spacing w:after="120"/>
        <w:ind w:left="720" w:hanging="720"/>
        <w:jc w:val="both"/>
      </w:pPr>
      <w:r>
        <w:rPr>
          <w:rFonts w:ascii="Times New Roman" w:cs="Times New Roman" w:eastAsia="Times New Roman" w:hAnsi="Times New Roman"/>
          <w:color w:val="000000"/>
          <w:sz w:val="20"/>
          <w:szCs w:val="20"/>
        </w:rPr>
        <w:t xml:space="preserve">Gadamer, H.-G. (1975). Truth and Method. Seabury Press.</w:t>
      </w:r>
    </w:p>
    <w:p>
      <w:pPr>
        <w:spacing w:after="120"/>
        <w:ind w:left="720" w:hanging="720"/>
        <w:jc w:val="both"/>
      </w:pPr>
      <w:r>
        <w:rPr>
          <w:rFonts w:ascii="Times New Roman" w:cs="Times New Roman" w:eastAsia="Times New Roman" w:hAnsi="Times New Roman"/>
          <w:color w:val="000000"/>
          <w:sz w:val="20"/>
          <w:szCs w:val="20"/>
        </w:rPr>
        <w:t xml:space="preserve">Galtung, J. (1969). Violence, peace, and peace research. Journal of Peace Research, 6(3), 167–191.</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Habermas, J. (1984). The Theory of Communicative Action, Vol. 1: Reason and the Rationalization of Society. Beacon Press.</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Habermas, J. (1996). Between Facts and Norms: Contributions to a Discourse Theory of Law and Democracy. MIT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Lafont, C. (1999). The Linguistic Turn in Hermeneutic Philosophy. MIT Press.</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Searle, J. R. (1969). Speech Acts: An Essay in the Philosophy of Language.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Crivelli, C., y Fridlund, A. J. (2018). Facial Displays Are Tools for Social Influence. Trends in Cognitive Sciences, 22(5), 388–399.
Mendelsohn, J., Tsvetkov, Y., y Jurafsky, D. (2020). A Framework for the Computational Linguistic Analysis of Dehumanization. Frontiers in Artificial Intelligence, 3, 55.
Reisenzein, R., Studtmann, M., y Horstmann, G. (2013). Coherence between Emotion and Facial Expression: Evidence from Laboratory Experiments. Emotion Review, 5(1), 16–23.
Sap, M., Swayamdipta, S., Viswanathan, L., Zhou, X., Choi, Y., y Smith, N. A. (2017). Connotation Frames of Power and Agency in Modern Films. Proceedings of EMNLP 2017, 2971–2976.
Sen, S., Singh, G., y Varshney, P. (2024). Deception detection using machine learning: A systematic review and transfer learning limitations from low-stakes to high-stakes. Expert Systems with Applications, 213, 119048.
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2026-04-11T16:21:25.642Z</dcterms:created>
  <dcterms:modified xsi:type="dcterms:W3CDTF">2026-04-11T16:21:25.643Z</dcterms:modified>
</cp:coreProperties>
</file>

<file path=docProps/custom.xml><?xml version="1.0" encoding="utf-8"?>
<Properties xmlns="http://schemas.openxmlformats.org/officeDocument/2006/custom-properties" xmlns:vt="http://schemas.openxmlformats.org/officeDocument/2006/docPropsVTypes"/>
</file>