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ICM disponible con N=32 frames (MediaPipe FaceLandmarker).</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tiene ICM disponible con N=32 frames procesados con MediaPipe FaceLandmarker — cobertura notablemente menor que los demás subcasos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