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 El análisis de tamaño de efecto (Cohen's d, N_B=214) confirma la magnitud sustantiva de los hallazgos: y₁₀ REP muestra el efecto más grande (d=0.514, p&lt;0.001), el DIS sintético (d=0.335, p&lt;0.001) e y₂ SA (d=0.257, p=0.023) presentan efectos medianos según la escala de Cohen (1988). El único indicador no significativo es y₄ NV (d=0.324, p=0.354 n.s.), explicado por el metalenguaje citativo del Corpus B (§6.1.4).</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subcaso Casanare tiene consistentemente el ICM más bajo (0.190) — mayor sonrisa (AU12=0.091) y menor ceño (AU4=0.076) que cualquier otro compareciente del corpus. Este perfil facial es el más consistente con baja congruencia multimodal: General, subcaso Casanare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subcaso Casanare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subcaso Catatumbo,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subcaso Casanare)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subcaso Catatumbo)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subcaso Catatumbo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fue incorporado al análisis con diarización completada el 01/06/2026 (10.46h, 5,717 segmentos). ICM_tri=0.171, cong_injusta=True. El análisis del Corpus C cubre ahora los 5/5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procesado con MediaPipe FaceLandmarker con N=32 frames disponibles — cobertura notablemente menor que los demás subcasos (40–93%); el análisis textual y de diarización sí fue completado (588 bloques).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análisis complementario de Cohen's d (N_B=214) reporta efectos medianos para los indicadores principales (REP d=0.514, DIS d=0.335), lo que proporciona una medida de la magnitud práctica de los hallazgos independiente de los supuestos de independencia del Mann-Whitney U.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Buolamwini, J., y Gebru, T. (2018). Gender Shades: Intersectional Accuracy Disparities in Commercial Gender Classification. Proceedings of Machine Learning Research, 81, 1–15.
Crivelli, C., y Fridlund, A. J. (2018). Facial Displays Are Tools for Social Influence. Trends in Cognitive Sciences, 22(5), 388–399.
Reisenzein, R., Studtmann, M., y Horstmann, G. (2013). Coherence between Emotion and Facial Expression: Evidence from Laboratory Experiments. Emotion Review, 5(1), 16–23.
Sen, S., Singh, G., y Varshney, P. (2024). Deception detection using machine learning: A systematic review and transfer learning limitations from low-stakes to high-stakes. Expert Systems with Applications, 213, 119048.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