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6"/>
          <w:szCs w:val="26"/>
        </w:rPr>
        <w:t xml:space="preserve">UNIVERSIDAD EXTERNADO DE COLOMBIA</w:t>
      </w:r>
    </w:p>
    <w:p>
      <w:pPr>
        <w:spacing w:after="600"/>
        <w:jc w:val="center"/>
      </w:pPr>
      <w:r>
        <w:rPr>
          <w:rFonts w:ascii="Times New Roman" w:cs="Times New Roman" w:eastAsia="Times New Roman" w:hAnsi="Times New Roman"/>
          <w:sz w:val="22"/>
          <w:szCs w:val="22"/>
        </w:rPr>
        <w:t xml:space="preserve">Facultad de Ingeniería · Programa de Ciencia de Datos</w:t>
      </w:r>
    </w:p>
    <w:p>
      <w:pPr>
        <w:spacing w:after="120" w:before="600"/>
        <w:jc w:val="center"/>
      </w:pPr>
      <w:r>
        <w:rPr>
          <w:rFonts w:ascii="Times New Roman" w:cs="Times New Roman" w:eastAsia="Times New Roman" w:hAnsi="Times New Roman"/>
          <w:b/>
          <w:bCs/>
          <w:sz w:val="32"/>
          <w:szCs w:val="32"/>
        </w:rPr>
        <w:t xml:space="preserve">APÉNDICE A</w:t>
      </w:r>
    </w:p>
    <w:p>
      <w:pPr>
        <w:spacing w:after="120"/>
        <w:jc w:val="center"/>
      </w:pPr>
      <w:r>
        <w:rPr>
          <w:rFonts w:ascii="Times New Roman" w:cs="Times New Roman" w:eastAsia="Times New Roman" w:hAnsi="Times New Roman"/>
          <w:b/>
          <w:bCs/>
          <w:sz w:val="26"/>
          <w:szCs w:val="26"/>
        </w:rPr>
        <w:t xml:space="preserve">Desarrollo matemático y protocolo experimental del framework CFH</w:t>
      </w:r>
    </w:p>
    <w:p>
      <w:pPr>
        <w:spacing w:after="600"/>
        <w:jc w:val="center"/>
      </w:pPr>
      <w:r>
        <w:rPr>
          <w:rFonts w:ascii="Times New Roman" w:cs="Times New Roman" w:eastAsia="Times New Roman" w:hAnsi="Times New Roman"/>
          <w:i/>
          <w:iCs/>
          <w:sz w:val="22"/>
          <w:szCs w:val="22"/>
        </w:rPr>
        <w:t xml:space="preserve">Hermenéutica Forense Computacional</w:t>
      </w:r>
    </w:p>
    <w:p>
      <w:pPr>
        <w:spacing w:after="120" w:before="800"/>
        <w:jc w:val="center"/>
      </w:pPr>
      <w:r>
        <w:rPr>
          <w:rFonts w:ascii="Times New Roman" w:cs="Times New Roman" w:eastAsia="Times New Roman" w:hAnsi="Times New Roman"/>
          <w:b/>
          <w:bCs/>
          <w:sz w:val="22"/>
          <w:szCs w:val="22"/>
        </w:rPr>
        <w:t xml:space="preserve">Mireya Camacho Celis</w:t>
      </w:r>
    </w:p>
    <w:p>
      <w:pPr>
        <w:spacing w:after="600"/>
        <w:jc w:val="center"/>
      </w:pPr>
      <w:r>
        <w:rPr>
          <w:rFonts w:ascii="Times New Roman" w:cs="Times New Roman" w:eastAsia="Times New Roman" w:hAnsi="Times New Roman"/>
          <w:sz w:val="22"/>
          <w:szCs w:val="22"/>
        </w:rPr>
        <w:t xml:space="preserve">Director: Julián Zuluaga · Bogotá D.C., 2026</w:t>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N_B=80 secciones) y Corpus C (audiencias orales, 588 bloques de aproximadamente 2.000 caracteres). El tamaño N_B=80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Nota interpretativa: el SA no difiere significativamente entre la justicia ordinaria y la JEP (A=0.885, B=0.873,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El DIS Score sintetiza la injusticia discursiva de superficie: el eufemismo bélico-institucional que invisibiliza el crimen en el vocabulario (EBI), la supresión de agentividad que oculta al responsable (SA) y la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DIS = 0.40·ŷ₁ + 0.30·ŷ₂ + 0.30·(1 − ŷ₁₀)</w:t>
      </w:r>
    </w:p>
    <w:p>
      <w:pPr>
        <w:spacing w:after="160" w:line="360" w:lineRule="auto"/>
        <w:jc w:val="both"/>
      </w:pPr>
      <w:r>
        <w:rPr>
          <w:rFonts w:ascii="Times New Roman" w:cs="Times New Roman" w:eastAsia="Times New Roman" w:hAnsi="Times New Roman"/>
          <w:sz w:val="22"/>
          <w:szCs w:val="22"/>
        </w:rPr>
        <w:t>Los pesos son a priori, fundamentados teóricamente: el EBI (peso 0.40) representa el mecanismo central de la violencia cultural galtunguiana sobre el vocabulario; la SA (peso 0.30) representa la dimensión gramatical de la distorsión; y la ausencia de REP (peso 0.30) representa la no-reparación en el sentido de Fraser. La Negación de Victimización (NV) no forma parte del DIS: se ubica en el IEI, por operacionalizar el déficit de credibilidad testimonial de Fricker (véase A.7).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A.6.1 El DIS por subcaso</w:t>
      </w:r>
    </w:p>
    <w:p>
      <w:pPr>
        <w:spacing w:after="200" w:line="320"/>
        <w:jc w:val="both"/>
      </w:pPr>
      <w:r>
        <w:rPr>
          <w:rFonts w:ascii="Times New Roman" w:cs="Times New Roman" w:eastAsia="Times New Roman" w:hAnsi="Times New Roman"/>
          <w:i/>
          <w:iCs/>
          <w:sz w:val="18"/>
          <w:szCs w:val="18"/>
        </w:rPr>
        <w:t>Los valores del DIS Score por subcaso del Corpus C se presentan de forma integrada junto con el IEI en la Tabla A.8 (sección A.7.1), que permite comparar ambas dimensiones por subcaso. El DIS más alto corresponde a Casanare y el más bajo a Huila, en coherencia con el gradiente por rango observado en el análisis multimodal del Capítulo 5.</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0.0688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El IEI operacionaliza el marco de Fricker (2007). Mide la injusticia epistémica como la combinación de la distancia semántica al léxico de las víctimas (y₈, centroide MAFAPO) y a los estándares de derechos humanos (y₉, CIDH) —que capturan la injusticia hermenéutica— y la Negación de Victimización (y₄) —que captura el déficit de credibilidad de la injusticia testimonial:</w:t>
      </w:r>
    </w:p>
    <w:p>
      <w:pPr>
        <w:spacing w:after="120" w:before="80"/>
        <w:jc w:val="center"/>
      </w:pPr>
      <w:r>
        <w:rPr>
          <w:rFonts w:ascii="Cambria Math" w:cs="Cambria Math" w:eastAsia="Cambria Math" w:hAnsi="Cambria Math"/>
          <w:i/>
          <w:iCs/>
          <w:sz w:val="24"/>
          <w:szCs w:val="24"/>
        </w:rPr>
        <w:t>IEI = 0.40·ŷ₈ + 0.30·ŷ₉ + 0.30·ŷ₄</w:t>
      </w:r>
    </w:p>
    <w:p>
      <w:pPr>
        <w:spacing w:after="160" w:line="360" w:lineRule="auto"/>
        <w:jc w:val="both"/>
      </w:pPr>
      <w:r>
        <w:rPr>
          <w:rFonts w:ascii="Times New Roman" w:cs="Times New Roman" w:eastAsia="Times New Roman" w:hAnsi="Times New Roman"/>
          <w:sz w:val="22"/>
          <w:szCs w:val="22"/>
        </w:rPr>
        <w:t>A diferencia del DIS, el IEI sí distingue significativamente la justicia ordinaria de la JEP escrita (A=0.513, B=0.353, p&lt;0.001), porque sus componentes dominantes (y₈, y₉) son justamente los que resisten el control temporal y constituyen la brecha estructural entre los sistemas. La ubicación de la NV en el IEI —y no en el DIS— refuerza esta separación: el credibility deficit es una dimensión epistémica, no una mera distorsión de superficie.</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0.520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0.570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0.050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IEI&gt;DIS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0.509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0.451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0.058</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0.365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0.402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0.370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0.369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0.354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Disociación DIS–IEI. Los dos índices no comparten indicadores y su correlación empírica es baja, lo que confirma que miden dimensiones independientes del daño. En el análisis por subcaso del Corpus C, el único perfil donde la injusticia epistémica supera a la discursiva (IEI&gt;DIS) corresponde a Casanare, cuya lectura debe tomarse con cautela por tratarse de un único compareciente. El resto de los subcasos presenta DIS≥IEI. La independencia de ambas dimensiones —y no un caso individual— es el hallazgo sustantivo, y converge con el análisis léxico-semántico de §5.14.</w:t>
      </w:r>
      <w:r>
        <w:rPr>
          <w:rFonts w:ascii="Times New Roman" w:cs="Times New Roman" w:eastAsia="Times New Roman" w:hAnsi="Times New Roman"/>
          <w:sz w:val="22"/>
          <w:szCs w:val="22"/>
        </w:rPr>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El tamaño del efecto se reporta como d de Cohen sobre el universo canónico (N_A=819, N_B=80).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0.873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0.0688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0.507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0.430</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Tabla A.9. Tamaños de efecto A vs B (N_B=80).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El poder estadístico para detectar un efecto d=0.30 con N_B=80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El predictor central de la transición epistémica es la distancia semántica al lenguaje de las víctimas (y₈, centroide MAFAPO): la regresión de la Ruptura Epistémica Positiva (y₁₀) sobre los indicadores de injusticia arroja un coeficiente negativo, robusto y consistente en dos universos independientes (β=−0.679 en Corpus C, p=0.047; β=−0.597 en el análisis tri-corpus, p&lt;0.001). El signo negativo indica que a mayor distancia del lenguaje de las víctimas, menor ruptura epistémica positiva. El antiguo indicador y₃ (distancia léxico-civil) fue descartado del pipeline definitivo por varianza insuficiente y por no ser calculable en el Corpus C oral.</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(partiendo del κ global sustancial de 0.722 alcanzado en dos rondas).</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y₈=0.207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Los hallazgos verificados del framework CFH, sobre los corpus canónicos (N_A=819, N_B=80,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(2) El DIS agregado no distingue A de B (p=0.0688 n.s.), por dilución de la señal discriminante (REP) con la supresión de agentividad, que es transversal al género jurídico. Esta no-diferencia es robusta a tres esquemas de normalización, incluido el cálculo sobre indicadores crudos.</w:t>
      </w:r>
      <w:r>
        <w:rPr>
          <w:rFonts w:ascii="Times New Roman" w:cs="Times New Roman" w:eastAsia="Times New Roman" w:hAnsi="Times New Roman"/>
          <w:sz w:val="22"/>
          <w:szCs w:val="22"/>
        </w:rPr>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(5) La disociación DIS–IEI: los dos índices miden dimensiones independientes (correlación empírica baja). En el análisis por subcaso del Corpus C, el único perfil donde la injusticia epistémica supera a la discursiva (IEI&gt;DIS) es Casanare, con la cautela que impone tratarse de un único compareciente. La independencia de ambas dimensiones —no un caso individual— es el hallazgo sustantivo.</w:t>
      </w:r>
      <w:r>
        <w:rPr>
          <w:rFonts w:ascii="Times New Roman" w:cs="Times New Roman" w:eastAsia="Times New Roman" w:hAnsi="Times New Roman"/>
          <w:sz w:val="22"/>
          <w:szCs w:val="22"/>
        </w:rPr>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2026-06-29T13:37:50.754Z</dcterms:created>
  <dcterms:modified xsi:type="dcterms:W3CDTF">2026-06-29T13:37:50.754Z</dcterms:modified>
</cp:coreProperties>
</file>

<file path=docProps/custom.xml><?xml version="1.0" encoding="utf-8"?>
<Properties xmlns="http://schemas.openxmlformats.org/officeDocument/2006/custom-properties" xmlns:vt="http://schemas.openxmlformats.org/officeDocument/2006/docPropsVTypes"/>
</file>