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fldSimple w:instr="PAGEREF Introducción \h"/>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fldSimple w:instr="PAGEREF 1.1_Planteamiento_del_problema \h"/>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fldSimple w:instr="PAGEREF 1.2_Pregunta_de_investigación \h"/>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fldSimple w:instr="PAGEREF 1.3_Objetivos \h"/>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fldSimple w:instr="PAGEREF 1.4_Justificación \h"/>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fldSimple w:instr="PAGEREF 1.5_Estructura_del_documento \h"/>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fldSimple w:instr="PAGEREF 2._Estado_del_arte \h"/>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fldSimple w:instr="PAGEREF 2.1_Violencia_cultural_y_lenguaje_institucional \h"/>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fldSimple w:instr="PAGEREF 2.2_NLP_aplicado_a_textos_judiciales \h"/>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fldSimple w:instr="PAGEREF 2.3_Justicia_transicional_y_análisis_del_discurso \h"/>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fldSimple w:instr="PAGEREF 2.4_Modelos_de_ecuaciones_estructurales_en_ciencias_sociales_computacionales \h"/>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fldSimple w:instr="PAGEREF 3._Marco_teórico \h"/>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fldSimple w:instr="PAGEREF 3.1_Injusticia_discursiva:_el_marco_Fraser-Galtung \h"/>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fldSimple w:instr="PAGEREF 3.2_La_Hermenéutica_Forense_Computacional_(CFH) \h"/>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fldSimple w:instr="PAGEREF 3.3_El_Discursive_Injustice_Score_(DIS_Score) \h"/>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fldSimple w:instr="PAGEREF 4._Metodología \h"/>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fldSimple w:instr="PAGEREF 4.1_Diseño_de_la_investigación \h"/>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fldSimple w:instr="PAGEREF 4.2_Descripción_del_corpus \h"/>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fldSimple w:instr="PAGEREF 4.3_Pipeline_de_ingesta_y_procesamiento \h"/>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fldSimple w:instr="PAGEREF 4.4_Taxonomía_de_anotación_CFH \h"/>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fldSimple w:instr="PAGEREF 4.5_Modelo_de_medición_SEM \h"/>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fldSimple w:instr="PAGEREF 4.6_Protocolo_de_validación \h"/>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fldSimple w:instr="PAGEREF 5._Resultados \h"/>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fldSimple w:instr="PAGEREF 6._Discusión_y_conclusiones \h"/>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fldSimple w:instr="PAGEREF Referencias \h"/>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fldSimple w:instr="PAGEREF Apéndices \h"/>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¿Existe una ruptura epistémica medible y sustancial entre el discurso de la justicia ordinaria y la JEP, medida mediante los indicadores de injusticia discursiva y epistémica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Implementar la Capa 1 léxica: diseñar y validar la Taxonomía CFH (EBI, SA, NV, REP) con una concordancia inter-anotador sustancial (κ global de 0.722 sobre dos rondas),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Estimar el modelo de análisis de senderos con las variables de las tres capas y explorar la relación estructural central: que la ruptura epistémica entre justicia ordinaria y JEP es medible y sustancial, y no atribuible a diferencias meramente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200" w:line="360" w:lineRule="auto"/>
        <w:ind w:firstLine="720"/>
        <w:jc w:val="both"/>
      </w:pPr>
      <w:r>
        <w:rPr>
          <w:rFonts w:ascii="Times New Roman" w:cs="Times New Roman" w:eastAsia="Times New Roman" w:hAnsi="Times New Roman"/>
          <w:color w:val="000000"/>
          <w:sz w:val="24"/>
          <w:szCs w:val="24"/>
        </w:rPr>
        <w:t>A esta justificación se suma una dimensión de responsabilidad tecnológica. Por operar sobre un dominio sensible —el archivo judicial de crímenes de lesa humanidad— y sobre sujetos vulnerables —las víctimas de los falsos positivos—, la CFH se diseñó en conformidad con los principios de la inteligencia artificial responsable y con los marcos normativos aplicables al uso de IA en la administración de justicia y los derechos humanos, tanto nacionales (Directiva Presidencial 007 de 2019) como internacionales (el Reglamento Europeo de IA, el GDPR, el marco del NIST y los Principios de la OCDE sobre IA). El desarrollo detallado de este marco de cumplimiento y de los cinco principios operativos que guían el diseño del framework —transparencia, explicabilidad, no maleficencia, supervisión humana y equidad— se presenta en la sección 6.3.5.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