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Camara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La extensión trimodal del framework CFH va más allá de lo que Fricker pudo teorizar, dado que su marco opera sobre el canal verbal-proposicional. El Índice de Congruencia Multimodal (ICM) extiende la injusticia epistémica al dominio multimodal, capturando formas de disonancia entre lo que se dice, cómo se dice y cómo se expresa corporalmente que el análisis verbal por sí solo no puede detectar. El análisis del Corpus C muestra que la injusticia discursiva (DIS) y la injusticia epistémica (IEI) constituyen dimensiones empíricamente independientes —su correlación es baja (ρ=0.164)—, de modo que un discurso puede corregir los mecanismos gramaticales de superficie sin acortar necesariamente la distancia al espacio hermenéutico de las víctimas, o viceversa. Con el fin de enriquecer la medición, se analizaron las intervenciones de los comparecientes más emblemáticos del Macrocaso 003 en distintos subcasos; algunas de estas lecturas por subcaso —como la de Casanare, con un único compareciente— se ofrecen como ilustraciones de versión libre, no como casos representativos de un grupo amplio. Este tipo de disociación está en línea con la observación de Fricker (2017) sobre formas de injusticia epistémica que resisten la categorización fácil.</w:t>
      </w:r>
    </w:p>
    <w:p>
      <w:pPr>
        <w:pStyle w:val="Normal"/>
        <w:jc w:val="both"/>
      </w:pPr>
      <w:r>
        <w:rPr>
          <w:sz w:val="22"/>
        </w:rPr>
        <w:t>El framework CFH llena esta brecha. El Índice de Injusticia Epistémica (IEI) operacionaliza la teoría de Fricker mediante tres componentes complementarios: la distancia semántica al centroide del corpus MAFAPO (y₈) y a los estándares de la CIDH (y₉) —que capturan la injusticia hermenéutica, esto es, la distancia al espacio conceptual que las víctimas construyeron para nombrar su experiencia— y la Negación de Victimización (y₄) —que captura la injusticia testimonial, el déficit de credibilidad impuesto al relato de las víctimas. Este diseño convierte las categorías filosóficas de Fricker en criterios de verificación empírica: un documento con IEI alto es, en una medida cuantificable, semánticamente distante del espacio hermenéutico de las víctimas y reproduce la descalificación de su condición civil. La distinción respecto al Índice de Injusticia Discursiva (DIS) —que agrupa los mecanismos de superficie: eufemismo bélico-institucional, supresión de agentividad y ausencia de reparación— es conceptual y empírica: ambos índices no comparten indicadores y su correlación es baja, lo que confirma que miden dimensiones distintas del daño.</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R. I. A., Sreenivasan, N., Kang, S. Y., Miller, A. M.-L., Chacko, M., Krishnan, S., Ayala, C., Ayala, E., y Kim, D. (2025). LegalEye: Multimodal Court Deception Detection Across Multiple Languages. Behavioral Sciences, 15(12), 1707. DOI: 10.3390/bs15121707</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Goupil, L., Ponsot, E., Richardson, D., Reyes, G., y Aucouturier, J.-J. (2021). Listeners' perceptions of certainty and honesty are associated with a common prosodic signature. Nature Communications, 12, 861. DOI: 10.1038/s41467-021-21516-2</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
Dryzek, J. S., y Niemeyer, S. J. (2024). Expressive Epistemic Injustice: Definition, Measurement, and Deliberative Cure. Political Research Quarterly. DOI: 10.1177/10659129241297272
Gilardi, F., Alizadeh, M., y Kubli, M. (2023). ChatGPT outperforms crowd workers for text-annotation tasks. Proceedings of the National Academy of Sciences, 120(30), e2305016120. DOI: 10.1073/pnas.2305016120
Kübler-Wachendorff, S., et al. (2024). Best Practices for Text Annotation with Large Language Models. arXiv:2402.05129</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2026-04-11T16:15:02.124Z</dcterms:created>
  <dcterms:modified xsi:type="dcterms:W3CDTF">2026-04-11T16:15:02.126Z</dcterms:modified>
</cp:coreProperties>
</file>

<file path=docProps/custom.xml><?xml version="1.0" encoding="utf-8"?>
<Properties xmlns="http://schemas.openxmlformats.org/officeDocument/2006/custom-properties" xmlns:vt="http://schemas.openxmlformats.org/officeDocument/2006/docPropsVTypes"/>
</file>