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color w:val="1F3864"/>
          <w:sz w:val="32"/>
          <w:szCs w:val="32"/>
        </w:rPr>
        <w:t xml:space="preserve">3. Marco teórico</w:t>
      </w:r>
    </w:p>
    <w:p>
      <w:pPr>
        <w:spacing w:after="120" w:line="276"/>
        <w:jc w:val="both"/>
      </w:pPr>
      <w:r>
        <w:rPr>
          <w:sz w:val="22"/>
          <w:szCs w:val="22"/>
        </w:rPr>
        <w:t xml:space="preserve">Este capítulo desarrolla los fundamentos conceptuales que sostienen la Hermenéutica Forense Computacional (CFH). El marco teórico se articula en cinco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epistémico, que incorpora la injusticia epistémica de Fricker (2007) como el eslabón que nombra el daño que los otros presuponen; un nivel formal-computacional, que operacionaliza esos mecanismos en un framework de tres capas con dos índices sintéticos —de injusticia discursiva y epistémica—; y un nivel multimodal, que extiende la medición al registro oral y no-verbal de las audiencias JEP mediante el Índice de Congruencia Multimodal (ICM).</w:t>
      </w:r>
    </w:p>
    <w:p>
      <w:pPr>
        <w:spacing w:after="120" w:line="276"/>
        <w:jc w:val="both"/>
      </w:pPr>
      <w:r>
        <w:rPr>
          <w:sz w:val="22"/>
          <w:szCs w:val="22"/>
        </w:rPr>
        <w:t xml:space="preserve">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pStyle w:val="Heading2"/>
        <w:spacing w:after="100" w:before="200"/>
      </w:pPr>
      <w:r>
        <w:rPr>
          <w:b/>
          <w:bCs/>
          <w:color w:val="1F3864"/>
          <w:sz w:val="26"/>
          <w:szCs w:val="26"/>
        </w:rPr>
        <w:t xml:space="preserve">3.1 Violencia cultural y lenguaje institucional: el marco de Galtung</w:t>
      </w:r>
    </w:p>
    <w:p>
      <w:pPr>
        <w:spacing w:after="120" w:line="276"/>
        <w:jc w:val="both"/>
      </w:pPr>
      <w:r>
        <w:rPr>
          <w:sz w:val="22"/>
          <w:szCs w:val="22"/>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120" w:line="276"/>
        <w:jc w:val="both"/>
      </w:pPr>
      <w:r>
        <w:rPr>
          <w:sz w:val="22"/>
          <w:szCs w:val="22"/>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120" w:line="276"/>
        <w:jc w:val="both"/>
      </w:pPr>
      <w:r>
        <w:rPr>
          <w:sz w:val="22"/>
          <w:szCs w:val="22"/>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institucionalizando la invisibilización discursiva de un homicidio. La violencia cultural, en este caso, opera a través del archivo.</w:t>
      </w:r>
    </w:p>
    <w:p>
      <w:pPr>
        <w:spacing w:after="120" w:line="276"/>
        <w:jc w:val="both"/>
      </w:pPr>
      <w:r>
        <w:rPr>
          <w:sz w:val="22"/>
          <w:szCs w:val="22"/>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pStyle w:val="Heading2"/>
        <w:spacing w:after="100" w:before="200"/>
      </w:pPr>
      <w:r>
        <w:rPr>
          <w:b/>
          <w:bCs/>
          <w:color w:val="1F3864"/>
          <w:sz w:val="26"/>
          <w:szCs w:val="26"/>
        </w:rPr>
        <w:t xml:space="preserve">3.2 Justicia como reconocimiento: el marco de Fraser</w:t>
      </w:r>
    </w:p>
    <w:p>
      <w:pPr>
        <w:spacing w:after="120" w:line="276"/>
        <w:jc w:val="both"/>
      </w:pPr>
      <w:r>
        <w:rPr>
          <w:sz w:val="22"/>
          <w:szCs w:val="22"/>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120" w:line="276"/>
        <w:jc w:val="both"/>
      </w:pPr>
      <w:r>
        <w:rPr>
          <w:sz w:val="22"/>
          <w:szCs w:val="22"/>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120" w:line="276"/>
        <w:jc w:val="both"/>
      </w:pPr>
      <w:r>
        <w:rPr>
          <w:sz w:val="22"/>
          <w:szCs w:val="22"/>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pStyle w:val="Heading2"/>
        <w:spacing w:after="100" w:before="200"/>
      </w:pPr>
      <w:r>
        <w:rPr>
          <w:b/>
          <w:bCs/>
          <w:color w:val="1F3864"/>
          <w:sz w:val="26"/>
          <w:szCs w:val="26"/>
        </w:rPr>
        <w:t xml:space="preserve">3.3 La colonización sistémica del lenguaje: Habermas</w:t>
      </w:r>
    </w:p>
    <w:p>
      <w:pPr>
        <w:spacing w:after="120" w:line="276"/>
        <w:jc w:val="both"/>
      </w:pPr>
      <w:r>
        <w:rPr>
          <w:sz w:val="22"/>
          <w:szCs w:val="22"/>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120" w:line="276"/>
        <w:jc w:val="both"/>
      </w:pPr>
      <w:r>
        <w:rPr>
          <w:sz w:val="22"/>
          <w:szCs w:val="22"/>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120" w:line="276"/>
        <w:jc w:val="both"/>
      </w:pPr>
      <w:r>
        <w:rPr>
          <w:sz w:val="22"/>
          <w:szCs w:val="22"/>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pStyle w:val="Heading2"/>
        <w:spacing w:after="100" w:before="200"/>
      </w:pPr>
      <w:r>
        <w:rPr>
          <w:b/>
          <w:bCs/>
          <w:color w:val="1F3864"/>
          <w:sz w:val="26"/>
          <w:szCs w:val="26"/>
        </w:rPr>
        <w:t xml:space="preserve">3.4 Justicia restaurativa y autenticidad del reconocimiento: Zehr</w:t>
      </w:r>
    </w:p>
    <w:p>
      <w:pPr>
        <w:spacing w:after="120" w:line="276"/>
        <w:jc w:val="both"/>
      </w:pPr>
      <w:r>
        <w:rPr>
          <w:sz w:val="22"/>
          <w:szCs w:val="22"/>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120" w:line="276"/>
        <w:jc w:val="both"/>
      </w:pPr>
      <w:r>
        <w:rPr>
          <w:sz w:val="22"/>
          <w:szCs w:val="22"/>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120" w:line="276"/>
        <w:jc w:val="both"/>
      </w:pPr>
      <w:r>
        <w:rPr>
          <w:sz w:val="22"/>
          <w:szCs w:val="22"/>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pStyle w:val="Heading2"/>
        <w:spacing w:after="100" w:before="200"/>
      </w:pPr>
      <w:r>
        <w:rPr>
          <w:b/>
          <w:bCs/>
          <w:color w:val="1F3864"/>
          <w:sz w:val="26"/>
          <w:szCs w:val="26"/>
        </w:rPr>
        <w:t xml:space="preserve">3.5 Injusticia epistémica, decolonialidad y extensión multimodal: el marco de Fricker y sus límites</w:t>
      </w:r>
    </w:p>
    <w:p>
      <w:pPr>
        <w:spacing w:after="120" w:line="276"/>
        <w:jc w:val="both"/>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spacing w:after="120" w:line="276"/>
        <w:jc w:val="both"/>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spacing w:after="120" w:line="276"/>
        <w:jc w:val="both"/>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spacing w:after="120" w:line="276"/>
        <w:jc w:val="both"/>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Los centroides MAFAPO (y₈) y CIDH (y₉) operacionalizan vectorialmente el collective hermeneutical resource de las víctimas: la convergencia semántica hacia estos centroides —esto es, la reducción de la distancia y₈— es la traza cuantitativa del cierre progresivo de la brecha hermenéutica. La Negación de Victimización (y₄), por su parte, captura el credibility deficit de la injusticia testimonial. Por eso el Índice de Injusticia Epistémica (IEI) integra ambas dimensiones: la distancia semántica a los centroides (injusticia hermenéutica) y la negación de victimización (injusticia testimonial).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spacing w:after="120" w:line="276"/>
        <w:jc w:val="both"/>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spacing w:after="120" w:line="276"/>
        <w:jc w:val="both"/>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293 textos de voz directa de las víctimas: comunicados, declaraciones ante la JEP y testimonios en audiencias de reconocimiento—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Castillejo-Cuéllar (2016), como comisionado de la Verdad, documenta la economía narrativa del testimonio en la justicia transicional colombiana: no todos los testimonios circulan con igual capital epistémico dentro del proceso. Wolf (2022) aplica el marco de Fricker a migrantes venezolanos en Colombia; Páez y Matida (2022) lo aplican al proceso penal colombiano. El marco adoptado en esta tesis es explícitamente híbrido: categorías analíticas de Fricker articuladas con la crítica decolonial del sur global y la filosofía y etnografía colombianas.</w:t>
      </w:r>
    </w:p>
    <w:p>
      <w:pPr>
        <w:spacing w:after="120" w:line="276"/>
        <w:jc w:val="both"/>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análisis del Corpus C documenta casos de este tipo de divergencia entre canales. Esta extensión del marco de Fricker al dominio multimodal, operacionalizada mediante el ICM tri-canal, constituye una de las contribuciones teóricas más originales del presente trabajo.</w:t>
      </w:r>
    </w:p>
    <w:p>
      <w:pPr>
        <w:pStyle w:val="Heading2"/>
        <w:spacing w:after="100" w:before="200"/>
      </w:pPr>
      <w:r>
        <w:rPr>
          <w:b/>
          <w:bCs/>
          <w:color w:val="1F3864"/>
          <w:sz w:val="26"/>
          <w:szCs w:val="26"/>
        </w:rPr>
        <w:t xml:space="preserve">3.6 La Hermenéutica Forense Computacional: framework de tres capas</w:t>
      </w:r>
    </w:p>
    <w:p>
      <w:pPr>
        <w:spacing w:after="120" w:line="276"/>
        <w:jc w:val="both"/>
      </w:pPr>
      <w:r>
        <w:rPr>
          <w:sz w:val="22"/>
          <w:szCs w:val="22"/>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val="clear"/>
          </w:tcPr>
          <w:p>
            <w:pPr>
              <w:spacing w:after="60"/>
            </w:pPr>
            <w:r>
              <w:rPr>
                <w:b/>
                <w:bCs/>
                <w:color w:val="1F3864"/>
                <w:sz w:val="21"/>
                <w:szCs w:val="21"/>
              </w:rPr>
              <w:t xml:space="preserve">Definición 3.1 — Hermenéutica Forense Computacional (CFH)</w:t>
            </w:r>
          </w:p>
          <w:p>
            <w:pPr>
              <w:jc w:val="both"/>
            </w:pPr>
            <w:r>
              <w:rPr>
                <w:i/>
                <w:iCs/>
                <w:sz w:val="20"/>
                <w:szCs w:val="20"/>
              </w:rPr>
              <w:t xml:space="preserve">Framework multimodal de reparación algorítmica para la medición cuantitativa de la injusticia discursiva y epistémica en archivos judiciales, mediante un sistema de tres capas —léxica, semántica y multimodal— que operacionaliza mecanismos de violencia cultural (Galtung, 1990), falta de reconocimiento (Fraser, 1995), colonización sistémica del lenguaje (Habermas, 1987) e injusticia epistémica (Fricker, 2007), y evalúa la congruencia del reconocimiento oral en audiencias de justicia transicional mediante el Índice de Congruencia Multimodal (ICM).</w:t>
            </w:r>
          </w:p>
        </w:tc>
      </w:tr>
    </w:tbl>
    <w:p>
      <w:pPr>
        <w:spacing w:after="120" w:line="276"/>
        <w:jc w:val="both"/>
      </w:pPr>
      <w:r>
        <w:rPr>
          <w:sz w:val="22"/>
          <w:szCs w:val="22"/>
        </w:rPr>
        <w:t xml:space="preserve">La CFH se articula en tres capas analíticas que corresponden a tres niveles de profundidad en la medición de la injusticia:</w:t>
      </w:r>
    </w:p>
    <w:p>
      <w:pPr>
        <w:spacing w:after="60" w:before="60"/>
      </w:pPr>
      <w:r>
        <w:rPr>
          <w:i/>
          <w:iCs/>
          <w:color w:val="595959"/>
          <w:sz w:val="19"/>
          <w:szCs w:val="19"/>
        </w:rPr>
        <w:t xml:space="preserve">Tabla 3.1. Las tres capas del framework CFH.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1F3864" w:val="clear"/>
          </w:tcPr>
          <w:p>
            <w:pPr>
              <w:jc w:val="center"/>
            </w:pPr>
            <w:r>
              <w:rPr>
                <w:b/>
                <w:bCs/>
                <w:color w:val="FFFFFF"/>
                <w:sz w:val="19"/>
                <w:szCs w:val="19"/>
              </w:rPr>
              <w:t xml:space="preserve">Capa</w:t>
            </w:r>
          </w:p>
        </w:tc>
        <w:tc>
          <w:tcPr>
            <w:tcW w:type="dxa" w:w="1900"/>
            <w:shd w:fill="1F3864" w:val="clear"/>
          </w:tcPr>
          <w:p>
            <w:pPr>
              <w:jc w:val="center"/>
            </w:pPr>
            <w:r>
              <w:rPr>
                <w:b/>
                <w:bCs/>
                <w:color w:val="FFFFFF"/>
                <w:sz w:val="19"/>
                <w:szCs w:val="19"/>
              </w:rPr>
              <w:t xml:space="preserve">Dimensión</w:t>
            </w:r>
          </w:p>
        </w:tc>
        <w:tc>
          <w:tcPr>
            <w:tcW w:type="dxa" w:w="2860"/>
            <w:shd w:fill="1F3864" w:val="clear"/>
          </w:tcPr>
          <w:p>
            <w:pPr>
              <w:jc w:val="center"/>
            </w:pPr>
            <w:r>
              <w:rPr>
                <w:b/>
                <w:bCs/>
                <w:color w:val="FFFFFF"/>
                <w:sz w:val="19"/>
                <w:szCs w:val="19"/>
              </w:rPr>
              <w:t xml:space="preserve">Pregunta</w:t>
            </w:r>
          </w:p>
        </w:tc>
        <w:tc>
          <w:tcPr>
            <w:tcW w:type="dxa" w:w="3100"/>
            <w:shd w:fill="1F3864" w:val="clear"/>
          </w:tcPr>
          <w:p>
            <w:pPr>
              <w:jc w:val="center"/>
            </w:pPr>
            <w:r>
              <w:rPr>
                <w:b/>
                <w:bCs/>
                <w:color w:val="FFFFFF"/>
                <w:sz w:val="19"/>
                <w:szCs w:val="19"/>
              </w:rPr>
              <w:t xml:space="preserve">Indicadores</w:t>
            </w:r>
          </w:p>
        </w:tc>
      </w:tr>
      <w:tr>
        <w:tc>
          <w:tcPr>
            <w:tcW w:type="dxa" w:w="1500"/>
            <w:shd w:fill="FFFFFF" w:val="clear"/>
          </w:tcPr>
          <w:p>
            <w:pPr>
              <w:jc w:val="left"/>
            </w:pPr>
            <w:r>
              <w:rPr>
                <w:b/>
                <w:bCs/>
                <w:sz w:val="19"/>
                <w:szCs w:val="19"/>
              </w:rPr>
              <w:t xml:space="preserve">1 — Léxica</w:t>
            </w:r>
          </w:p>
        </w:tc>
        <w:tc>
          <w:tcPr>
            <w:tcW w:type="dxa" w:w="1900"/>
            <w:shd w:fill="FFFFFF" w:val="clear"/>
          </w:tcPr>
          <w:p>
            <w:pPr>
              <w:jc w:val="center"/>
            </w:pPr>
            <w:r>
              <w:rPr>
                <w:b w:val="false"/>
                <w:bCs w:val="false"/>
                <w:sz w:val="19"/>
                <w:szCs w:val="19"/>
              </w:rPr>
              <w:t xml:space="preserve">¿Cambian las palabras?</w:t>
            </w:r>
          </w:p>
        </w:tc>
        <w:tc>
          <w:tcPr>
            <w:tcW w:type="dxa" w:w="2860"/>
            <w:shd w:fill="FFFFFF" w:val="clear"/>
          </w:tcPr>
          <w:p>
            <w:pPr>
              <w:jc w:val="center"/>
            </w:pPr>
            <w:r>
              <w:rPr>
                <w:b w:val="false"/>
                <w:bCs w:val="false"/>
                <w:sz w:val="19"/>
                <w:szCs w:val="19"/>
              </w:rPr>
              <w:t xml:space="preserve">Mecanismos de violencia discursiva en el texto</w:t>
            </w:r>
          </w:p>
        </w:tc>
        <w:tc>
          <w:tcPr>
            <w:tcW w:type="dxa" w:w="3100"/>
            <w:shd w:fill="FFFFFF" w:val="clear"/>
          </w:tcPr>
          <w:p>
            <w:pPr>
              <w:jc w:val="center"/>
            </w:pPr>
            <w:r>
              <w:rPr>
                <w:b w:val="false"/>
                <w:bCs w:val="false"/>
                <w:sz w:val="19"/>
                <w:szCs w:val="19"/>
              </w:rPr>
              <w:t xml:space="preserve">EBI, SA, NV, REP, persona gramatical, hedging, léxico emocional</w:t>
            </w:r>
          </w:p>
        </w:tc>
      </w:tr>
      <w:tr>
        <w:tc>
          <w:tcPr>
            <w:tcW w:type="dxa" w:w="1500"/>
            <w:shd w:fill="F2F2F2" w:val="clear"/>
          </w:tcPr>
          <w:p>
            <w:pPr>
              <w:jc w:val="left"/>
            </w:pPr>
            <w:r>
              <w:rPr>
                <w:b/>
                <w:bCs/>
                <w:sz w:val="19"/>
                <w:szCs w:val="19"/>
              </w:rPr>
              <w:t xml:space="preserve">2 — Semántica</w:t>
            </w:r>
          </w:p>
        </w:tc>
        <w:tc>
          <w:tcPr>
            <w:tcW w:type="dxa" w:w="1900"/>
            <w:shd w:fill="F2F2F2" w:val="clear"/>
          </w:tcPr>
          <w:p>
            <w:pPr>
              <w:jc w:val="center"/>
            </w:pPr>
            <w:r>
              <w:rPr>
                <w:b w:val="false"/>
                <w:bCs w:val="false"/>
                <w:sz w:val="19"/>
                <w:szCs w:val="19"/>
              </w:rPr>
              <w:t xml:space="preserve">¿Cambia el significado?</w:t>
            </w:r>
          </w:p>
        </w:tc>
        <w:tc>
          <w:tcPr>
            <w:tcW w:type="dxa" w:w="2860"/>
            <w:shd w:fill="F2F2F2" w:val="clear"/>
          </w:tcPr>
          <w:p>
            <w:pPr>
              <w:jc w:val="center"/>
            </w:pPr>
            <w:r>
              <w:rPr>
                <w:b w:val="false"/>
                <w:bCs w:val="false"/>
                <w:sz w:val="19"/>
                <w:szCs w:val="19"/>
              </w:rPr>
              <w:t xml:space="preserve">Distancia semántica al polo de las víctimas</w:t>
            </w:r>
          </w:p>
        </w:tc>
        <w:tc>
          <w:tcPr>
            <w:tcW w:type="dxa" w:w="3100"/>
            <w:shd w:fill="F2F2F2" w:val="clear"/>
          </w:tcPr>
          <w:p>
            <w:pPr>
              <w:jc w:val="center"/>
            </w:pPr>
            <w:r>
              <w:rPr>
                <w:b w:val="false"/>
                <w:bCs w:val="false"/>
                <w:sz w:val="19"/>
                <w:szCs w:val="19"/>
              </w:rPr>
              <w:t xml:space="preserve">Dist. MAFAPO (y₈), Dist. CIDH (y₉), surprisal contrastivo (y₇)</w:t>
            </w:r>
          </w:p>
        </w:tc>
      </w:tr>
      <w:tr>
        <w:tc>
          <w:tcPr>
            <w:tcW w:type="dxa" w:w="1500"/>
            <w:shd w:fill="FFFFFF" w:val="clear"/>
          </w:tcPr>
          <w:p>
            <w:pPr>
              <w:jc w:val="left"/>
            </w:pPr>
            <w:r>
              <w:rPr>
                <w:b/>
                <w:bCs/>
                <w:sz w:val="19"/>
                <w:szCs w:val="19"/>
              </w:rPr>
              <w:t xml:space="preserve">3 — Multimodal</w:t>
            </w:r>
          </w:p>
        </w:tc>
        <w:tc>
          <w:tcPr>
            <w:tcW w:type="dxa" w:w="1900"/>
            <w:shd w:fill="FFFFFF" w:val="clear"/>
          </w:tcPr>
          <w:p>
            <w:pPr>
              <w:jc w:val="center"/>
            </w:pPr>
            <w:r>
              <w:rPr>
                <w:b w:val="false"/>
                <w:bCs w:val="false"/>
                <w:sz w:val="19"/>
                <w:szCs w:val="19"/>
              </w:rPr>
              <w:t xml:space="preserve">¿Es congruente?</w:t>
            </w:r>
          </w:p>
        </w:tc>
        <w:tc>
          <w:tcPr>
            <w:tcW w:type="dxa" w:w="2860"/>
            <w:shd w:fill="FFFFFF" w:val="clear"/>
          </w:tcPr>
          <w:p>
            <w:pPr>
              <w:jc w:val="center"/>
            </w:pPr>
            <w:r>
              <w:rPr>
                <w:b w:val="false"/>
                <w:bCs w:val="false"/>
                <w:sz w:val="19"/>
                <w:szCs w:val="19"/>
              </w:rPr>
              <w:t xml:space="preserve">Congruencia entre texto, voz y expresión facial</w:t>
            </w:r>
          </w:p>
        </w:tc>
        <w:tc>
          <w:tcPr>
            <w:tcW w:type="dxa" w:w="3100"/>
            <w:shd w:fill="FFFFFF" w:val="clear"/>
          </w:tcPr>
          <w:p>
            <w:pPr>
              <w:jc w:val="center"/>
            </w:pPr>
            <w:r>
              <w:rPr>
                <w:b w:val="false"/>
                <w:bCs w:val="false"/>
                <w:sz w:val="19"/>
                <w:szCs w:val="19"/>
              </w:rPr>
              <w:t xml:space="preserve">eGeMAPS 88 features, MediaPipe AUs, ICM tri-canal</w:t>
            </w:r>
          </w:p>
        </w:tc>
      </w:tr>
    </w:tbl>
    <w:p>
      <w:pPr>
        <w:spacing w:after="120" w:line="276"/>
        <w:jc w:val="both"/>
      </w:pPr>
      <w:r>
        <w:rPr>
          <w:sz w:val="22"/>
          <w:szCs w:val="22"/>
        </w:rPr>
        <w:t xml:space="preserve">La Capa 1 léxica opera sobre los tres corpus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alimentan los índices sintéticos que se definen en la sección 3.8.</w:t>
      </w:r>
    </w:p>
    <w:p>
      <w:pPr>
        <w:pStyle w:val="Heading2"/>
        <w:spacing w:after="100" w:before="200"/>
      </w:pPr>
      <w:r>
        <w:rPr>
          <w:b/>
          <w:bCs/>
          <w:color w:val="1F3864"/>
          <w:sz w:val="26"/>
          <w:szCs w:val="26"/>
        </w:rPr>
        <w:t xml:space="preserve">3.7 Los centroides de referencia: la Memoria de Verdad Triangulada</w:t>
      </w:r>
    </w:p>
    <w:p>
      <w:pPr>
        <w:spacing w:after="120" w:line="276"/>
        <w:jc w:val="both"/>
      </w:pPr>
      <w:r>
        <w:rPr>
          <w:sz w:val="22"/>
          <w:szCs w:val="22"/>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 Establecer este polo de referencia antes de definir los índices es una decisión teórica deliberada: los índices de distancia semántica (y₈, y₉) solo adquieren sentido una vez fijado el espacio hermenéutico de las víctimas hacia el cual se mide la convergencia.</w:t>
      </w:r>
    </w:p>
    <w:p>
      <w:pPr>
        <w:spacing w:after="120" w:line="276"/>
        <w:jc w:val="both"/>
      </w:pPr>
      <w:r>
        <w:rPr>
          <w:sz w:val="22"/>
          <w:szCs w:val="22"/>
        </w:rPr>
        <w:t xml:space="preserve">El centroide MAFAPO (v5) se construye a partir de 293 textos de voz directa de víctimas de los falsos positivos, organizados en torno a un núcleo base y dos rondas de ampliación: 25 textos del informe MAFAPO «Unidas por la Memoria y la Verdad» (2021); un conjunto ampliado de testimonios y comunicados de organizaciones de víctimas —MAFAPO, MOVICE, Dejusticia y otras— recopilados entre 2022 y 2026; y 60 segmentos de voz directa de familiares extraídos de audiencias de reconocimiento del Macrocaso 003, transcritos con Whisper large-v3 y filtrados por densidad léxica de testimonio directo. Tras deduplicación, el centroide resultante integra 293 textos únicos. Los segmentos de voz directa reciben un peso ponderado mayor que los textos escritos, por constituir el acto testimonial en su contexto de enunciación original —las audiencias JEP— y por coherencia metodológica con la Capa 3 del framework. El centroide CIDH (v3) se construye análogamente a partir de fragmentos de la jurisprudencia interamericana sobre ejecuciones extrajudiciales en Colombia, representando el polo del derecho internacional de los derechos humanos.</w:t>
      </w:r>
    </w:p>
    <w:p>
      <w:pPr>
        <w:spacing w:after="120" w:line="276"/>
        <w:jc w:val="both"/>
      </w:pPr>
      <w:r>
        <w:rPr>
          <w:sz w:val="22"/>
          <w:szCs w:val="22"/>
        </w:rPr>
        <w:t xml:space="preserve">Teóricamente, esta doble referencia operacionaliza la distinción de Fricker entre las dos formas de injusticia epistémica y su corrección: el centroide MAFAPO representa el recurso hermenéutico construido por las propias víctimas (el mundo de la vida, en términos de Habermas), mientras el centroide CIDH representa el estándar normativo del derecho internacional. La convergencia hacia ambos polos —medida como reducción de las distancias y₈ e y₉— es la traza cuantitativa de la corrección de la injusticia hermenéutica.</w:t>
      </w:r>
    </w:p>
    <w:p>
      <w:pPr>
        <w:pStyle w:val="Heading2"/>
        <w:spacing w:after="100" w:before="200"/>
      </w:pPr>
      <w:r>
        <w:rPr>
          <w:b/>
          <w:bCs/>
          <w:color w:val="1F3864"/>
          <w:sz w:val="26"/>
          <w:szCs w:val="26"/>
        </w:rPr>
        <w:t xml:space="preserve">3.8 Los índices sintéticos: DIS, IEI e ICM</w:t>
      </w:r>
    </w:p>
    <w:p>
      <w:pPr>
        <w:spacing w:after="120" w:line="276"/>
        <w:jc w:val="both"/>
      </w:pPr>
      <w:r>
        <w:rPr>
          <w:sz w:val="22"/>
          <w:szCs w:val="22"/>
        </w:rPr>
        <w:t xml:space="preserve">El framework CFH sintetiza los indicadores de las tres capas en tres índices, cada uno correspondiente a una dimensión conceptualmente distinta del daño: la injusticia discursiva de superficie (DIS), la injusticia epistémica (IEI) y la congruencia multimodal del reconocimiento oral (ICM). La separación de estas tres dimensiones —y la decisión de que los índices no compartan indicadores— es una tesis teórica del proyecto: el daño que el archivo judicial produce sobre las víctimas no es unidimensional, y reducirlo a un único índice ocultaría su estructura.</w:t>
      </w:r>
    </w:p>
    <w:p>
      <w:pPr>
        <w:pStyle w:val="Heading3"/>
        <w:spacing w:after="80" w:before="160"/>
      </w:pPr>
      <w:r>
        <w:rPr>
          <w:b/>
          <w:bCs/>
          <w:color w:val="1F3864"/>
          <w:sz w:val="23"/>
          <w:szCs w:val="23"/>
        </w:rPr>
        <w:t xml:space="preserve">3.8.1 El Índice de Injusticia Discursiva (DIS)</w:t>
      </w:r>
    </w:p>
    <w:p>
      <w:pPr>
        <w:spacing w:after="120" w:line="276"/>
        <w:jc w:val="both"/>
      </w:pPr>
      <w:r>
        <w:rPr>
          <w:sz w:val="22"/>
          <w:szCs w:val="22"/>
        </w:rPr>
        <w:t xml:space="preserve">El Índice de Injusticia Discursiva (DIS) mide los mecanismos discursivos de superficie mediante los cuales el lenguaje judicial invisibiliza el crimen: el eufemismo bélico-institucional que nombra el homicidio como acción militar (EBI), la supresión de agentividad que oculta al responsable (SA), y la ausencia de lenguaje reparador (1−REP). Se define como:</w:t>
      </w:r>
    </w:p>
    <w:p>
      <w:pPr>
        <w:spacing w:after="120"/>
        <w:jc w:val="center"/>
      </w:pPr>
      <w:r>
        <w:rPr>
          <w:b/>
          <w:bCs/>
          <w:i/>
          <w:iCs/>
          <w:sz w:val="23"/>
          <w:szCs w:val="23"/>
        </w:rPr>
        <w:t xml:space="preserve">DIS = 0.40·EBI + 0.30·SA + 0.30·(1 − REP)</w:t>
      </w:r>
    </w:p>
    <w:p>
      <w:pPr>
        <w:spacing w:after="120" w:line="276"/>
        <w:jc w:val="both"/>
      </w:pPr>
      <w:r>
        <w:rPr>
          <w:sz w:val="22"/>
          <w:szCs w:val="22"/>
        </w:rPr>
        <w:t xml:space="preserve">Los pesos son teóricos, no optimizados sobre los datos: reflejan la primacía del eufemismo bélico-institucional (EBI) como mecanismo central de la violencia cultural galtunguiana sobre el vocabulario, complementado por la supresión de agentividad (la dimensión gramatical de la distorsión) y por la ausencia de reparación (la dimensión de reconocimiento fraseriano). Un DIS alto indica un texto que invisibiliza el crimen mediante el vocabulario militar, oculta al responsable y carece de lenguaje reparador.</w:t>
      </w:r>
    </w:p>
    <w:p>
      <w:pPr>
        <w:pStyle w:val="Heading3"/>
        <w:spacing w:after="80" w:before="160"/>
      </w:pPr>
      <w:r>
        <w:rPr>
          <w:b/>
          <w:bCs/>
          <w:color w:val="1F3864"/>
          <w:sz w:val="23"/>
          <w:szCs w:val="23"/>
        </w:rPr>
        <w:t xml:space="preserve">3.8.2 El Índice de Injusticia Epistémica (IEI)</w:t>
      </w:r>
    </w:p>
    <w:p>
      <w:pPr>
        <w:spacing w:after="120" w:line="276"/>
        <w:jc w:val="both"/>
      </w:pPr>
      <w:r>
        <w:rPr>
          <w:sz w:val="22"/>
          <w:szCs w:val="22"/>
        </w:rPr>
        <w:t xml:space="preserve">El Índice de Injusticia Epistémica (IEI) operacionaliza directamente el marco de Fricker (2007), integrando las dos formas de injusticia epistémica en una sola métrica: la injusticia hermenéutica —la distancia al espacio conceptual que las víctimas construyeron para nombrar su experiencia, medida como distancia a los centroides MAFAPO (y₈) y CIDH (y₉)— y la injusticia testimonial —el déficit de credibilidad impuesto al relato de las víctimas, capturado por la Negación de Victimización (y₄). Se define como:</w:t>
      </w:r>
    </w:p>
    <w:p>
      <w:pPr>
        <w:spacing w:after="120"/>
        <w:jc w:val="center"/>
      </w:pPr>
      <w:r>
        <w:rPr>
          <w:b/>
          <w:bCs/>
          <w:i/>
          <w:iCs/>
          <w:sz w:val="23"/>
          <w:szCs w:val="23"/>
        </w:rPr>
        <w:t xml:space="preserve">IEI = 0.40·MAFAPO(y₈) + 0.30·CIDH(y₉) + 0.30·NV(y₄)</w:t>
      </w:r>
    </w:p>
    <w:p>
      <w:pPr>
        <w:spacing w:after="120" w:line="276"/>
        <w:jc w:val="both"/>
      </w:pPr>
      <w:r>
        <w:rPr>
          <w:sz w:val="22"/>
          <w:szCs w:val="22"/>
        </w:rPr>
        <w:t xml:space="preserve">La ubicación de la Negación de Victimización (y₄) en el IEI —y no en el DIS— es una decisión teórica fundamentada: la NV no es meramente un mecanismo discursivo de superficie, sino la operacionalización del credibility deficit de la injusticia testimonial de Fricker. Cuando el archivo atribuye a la víctima la identidad de combatiente, no solo distorsiona el vocabulario: descalifica a la víctima como sujeto de conocimiento sobre su propia condición civil. Por eso la NV pertenece conceptualmente a la dimensión epistémica, junto con las distancias semánticas a los polos hermenéuticos de las víctimas.</w:t>
      </w:r>
    </w:p>
    <w:p>
      <w:pPr>
        <w:spacing w:after="120" w:line="276"/>
        <w:jc w:val="both"/>
      </w:pPr>
      <w:r>
        <w:rPr>
          <w:sz w:val="22"/>
          <w:szCs w:val="22"/>
        </w:rPr>
        <w:t xml:space="preserve">La distinción entre el DIS y el IEI es el núcleo de la contribución conceptual del framework. El DIS captura la superficie discursiva —cómo se dice—; el IEI captura la dimensión epistémica —si se reconoce a la víctima como sujeto de conocimiento y se adopta su lenguaje. Ambos índices no comparten indicadores, lo que garantiza que midan dimensiones conceptualmente independientes. La evidencia empírica de esa independencia se presenta en el Capítulo 5.</w:t>
      </w:r>
    </w:p>
    <w:p>
      <w:pPr>
        <w:pStyle w:val="Heading3"/>
        <w:spacing w:after="80" w:before="160"/>
      </w:pPr>
      <w:r>
        <w:rPr>
          <w:b/>
          <w:bCs/>
          <w:color w:val="1F3864"/>
          <w:sz w:val="23"/>
          <w:szCs w:val="23"/>
        </w:rPr>
        <w:t xml:space="preserve">3.8.3 El Índice de Congruencia Multimodal (ICM)</w:t>
      </w:r>
    </w:p>
    <w:p>
      <w:pPr>
        <w:spacing w:after="120" w:line="276"/>
        <w:jc w:val="both"/>
      </w:pPr>
      <w:r>
        <w:rPr>
          <w:sz w:val="22"/>
          <w:szCs w:val="22"/>
        </w:rPr>
        <w:t xml:space="preserve">El Índice de Congruencia Multimodal (ICM) es la contribución que operacionaliza el concepto de reconocimiento genuino de Zehr y Fraser en el registro oral. Mide la coherencia entre los tres canales de comunicación presentes en las audiencias de reconocimiento: el canal verbal (lo que el compareciente dice), el canal vocal (cómo lo dice —prosodia) y el canal facial (cómo lo expresa —Action Units). Un ICM alto (congruente) indica que los tres canales apuntan en la misma dirección; un ICM bajo (incongruente) señala reconocimiento performativo: las palabras dicen reconocimiento pero la voz o el rostro no lo acompañan.</w:t>
      </w:r>
    </w:p>
    <w:p>
      <w:pPr>
        <w:spacing w:after="120" w:line="276"/>
        <w:jc w:val="both"/>
      </w:pPr>
      <w:r>
        <w:rPr>
          <w:b/>
          <w:bCs/>
          <w:sz w:val="22"/>
          <w:szCs w:val="22"/>
        </w:rPr>
        <w:t xml:space="preserve">Límites epistemológicos del ICM. </w:t>
      </w:r>
      <w:r>
        <w:rPr>
          <w:sz w:val="22"/>
          <w:szCs w:val="22"/>
        </w:rPr>
        <w:t xml:space="preserve">Es imprescindible declarar los límites del ICM. Conforme a Barrett et al. (2019), las configuraciones faciales no decodifican estados emocionales internos de manera universal ni directa. Crivelli y Fridlund (2018) argumentan que las expresiones son actos comunicativos contextuales, y Reisenzein et al. (2013) confirman que la coherencia emoción-expresión es baja incluso en emoción genuina. Por estas razones, el ICM no mide sinceridad, autenticidad psicológica individual ni culpa: es una medida de congruencia entre señales comunicativas multimodales a nivel del compareciente. Adicionalmente, conforme a Sen et al. (2024), los modelos entrenados en contextos low-stakes no transfieren a high-stakes; por ello la CFH calibra el ICM desde el propio corpus del Macrocaso 003, y los modelos faciales no han sido auditados sobre rostros mestizos o afrocolombianos (Buolamwini y Gebru, 2018).</w:t>
      </w:r>
    </w:p>
    <w:p>
      <w:pPr>
        <w:pStyle w:val="Heading3"/>
        <w:spacing w:after="80" w:before="160"/>
      </w:pPr>
      <w:r>
        <w:rPr>
          <w:b/>
          <w:bCs/>
          <w:color w:val="1F3864"/>
          <w:sz w:val="23"/>
          <w:szCs w:val="23"/>
        </w:rPr>
        <w:t xml:space="preserve">3.8.4 Tabla de indicadores del framework</w:t>
      </w:r>
    </w:p>
    <w:p>
      <w:pPr>
        <w:spacing w:after="60" w:before="60"/>
      </w:pPr>
      <w:r>
        <w:rPr>
          <w:i/>
          <w:iCs/>
          <w:color w:val="595959"/>
          <w:sz w:val="19"/>
          <w:szCs w:val="19"/>
        </w:rPr>
        <w:t xml:space="preserve">Tabla 3.2. Indicadores del framework CFH y su asignación a los índices sintéticos (formulación definitiva). Los indicadores y₅, y₆ y y₇ se calculan con fines descriptivos y no integran los 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1700"/>
        <w:gridCol w:w="1360"/>
        <w:gridCol w:w="2500"/>
      </w:tblGrid>
      <w:tr>
        <w:trPr>
          <w:tblHeader/>
        </w:trPr>
        <w:tc>
          <w:tcPr>
            <w:tcW w:type="dxa" w:w="1100"/>
            <w:shd w:fill="1F3864" w:val="clear"/>
          </w:tcPr>
          <w:p>
            <w:pPr>
              <w:jc w:val="center"/>
            </w:pPr>
            <w:r>
              <w:rPr>
                <w:b/>
                <w:bCs/>
                <w:color w:val="FFFFFF"/>
                <w:sz w:val="19"/>
                <w:szCs w:val="19"/>
              </w:rPr>
              <w:t xml:space="preserve">Código</w:t>
            </w:r>
          </w:p>
        </w:tc>
        <w:tc>
          <w:tcPr>
            <w:tcW w:type="dxa" w:w="2700"/>
            <w:shd w:fill="1F3864" w:val="clear"/>
          </w:tcPr>
          <w:p>
            <w:pPr>
              <w:jc w:val="center"/>
            </w:pPr>
            <w:r>
              <w:rPr>
                <w:b/>
                <w:bCs/>
                <w:color w:val="FFFFFF"/>
                <w:sz w:val="19"/>
                <w:szCs w:val="19"/>
              </w:rPr>
              <w:t xml:space="preserve">Indicador</w:t>
            </w:r>
          </w:p>
        </w:tc>
        <w:tc>
          <w:tcPr>
            <w:tcW w:type="dxa" w:w="1700"/>
            <w:shd w:fill="1F3864" w:val="clear"/>
          </w:tcPr>
          <w:p>
            <w:pPr>
              <w:jc w:val="center"/>
            </w:pPr>
            <w:r>
              <w:rPr>
                <w:b/>
                <w:bCs/>
                <w:color w:val="FFFFFF"/>
                <w:sz w:val="19"/>
                <w:szCs w:val="19"/>
              </w:rPr>
              <w:t xml:space="preserve">Índice</w:t>
            </w:r>
          </w:p>
        </w:tc>
        <w:tc>
          <w:tcPr>
            <w:tcW w:type="dxa" w:w="1360"/>
            <w:shd w:fill="1F3864" w:val="clear"/>
          </w:tcPr>
          <w:p>
            <w:pPr>
              <w:jc w:val="center"/>
            </w:pPr>
            <w:r>
              <w:rPr>
                <w:b/>
                <w:bCs/>
                <w:color w:val="FFFFFF"/>
                <w:sz w:val="19"/>
                <w:szCs w:val="19"/>
              </w:rPr>
              <w:t xml:space="preserve">Corpus</w:t>
            </w:r>
          </w:p>
        </w:tc>
        <w:tc>
          <w:tcPr>
            <w:tcW w:type="dxa" w:w="2500"/>
            <w:shd w:fill="1F3864" w:val="clear"/>
          </w:tcPr>
          <w:p>
            <w:pPr>
              <w:jc w:val="center"/>
            </w:pPr>
            <w:r>
              <w:rPr>
                <w:b/>
                <w:bCs/>
                <w:color w:val="FFFFFF"/>
                <w:sz w:val="19"/>
                <w:szCs w:val="19"/>
              </w:rPr>
              <w:t xml:space="preserve">Herramienta</w:t>
            </w:r>
          </w:p>
        </w:tc>
      </w:tr>
      <w:tr>
        <w:tc>
          <w:tcPr>
            <w:tcW w:type="dxa" w:w="1100"/>
            <w:shd w:fill="FFFFFF" w:val="clear"/>
          </w:tcPr>
          <w:p>
            <w:pPr>
              <w:jc w:val="left"/>
            </w:pPr>
            <w:r>
              <w:rPr>
                <w:b/>
                <w:bCs/>
                <w:sz w:val="19"/>
                <w:szCs w:val="19"/>
              </w:rPr>
              <w:t xml:space="preserve">y₁</w:t>
            </w:r>
          </w:p>
        </w:tc>
        <w:tc>
          <w:tcPr>
            <w:tcW w:type="dxa" w:w="2700"/>
            <w:shd w:fill="FFFFFF" w:val="clear"/>
          </w:tcPr>
          <w:p>
            <w:pPr>
              <w:jc w:val="center"/>
            </w:pPr>
            <w:r>
              <w:rPr>
                <w:b w:val="false"/>
                <w:bCs w:val="false"/>
                <w:sz w:val="19"/>
                <w:szCs w:val="19"/>
              </w:rPr>
              <w:t xml:space="preserve">EBI Score</w:t>
            </w:r>
          </w:p>
        </w:tc>
        <w:tc>
          <w:tcPr>
            <w:tcW w:type="dxa" w:w="1700"/>
            <w:shd w:fill="FFFFFF" w:val="clear"/>
          </w:tcPr>
          <w:p>
            <w:pPr>
              <w:jc w:val="center"/>
            </w:pPr>
            <w:r>
              <w:rPr>
                <w:b w:val="false"/>
                <w:bCs w:val="false"/>
                <w:sz w:val="19"/>
                <w:szCs w:val="19"/>
              </w:rPr>
              <w:t xml:space="preserve">DIS</w:t>
            </w:r>
          </w:p>
        </w:tc>
        <w:tc>
          <w:tcPr>
            <w:tcW w:type="dxa" w:w="1360"/>
            <w:shd w:fill="FFFFFF" w:val="clear"/>
          </w:tcPr>
          <w:p>
            <w:pPr>
              <w:jc w:val="center"/>
            </w:pPr>
            <w:r>
              <w:rPr>
                <w:b w:val="false"/>
                <w:bCs w:val="false"/>
                <w:sz w:val="19"/>
                <w:szCs w:val="19"/>
              </w:rPr>
              <w:t xml:space="preserve">A, B, C</w:t>
            </w:r>
          </w:p>
        </w:tc>
        <w:tc>
          <w:tcPr>
            <w:tcW w:type="dxa" w:w="2500"/>
            <w:shd w:fill="FFFFFF" w:val="clear"/>
          </w:tcPr>
          <w:p>
            <w:pPr>
              <w:jc w:val="center"/>
            </w:pPr>
            <w:r>
              <w:rPr>
                <w:b w:val="false"/>
                <w:bCs w:val="false"/>
                <w:sz w:val="19"/>
                <w:szCs w:val="19"/>
              </w:rPr>
              <w:t xml:space="preserve">Gazetteer + CFH-BERT</w:t>
            </w:r>
          </w:p>
        </w:tc>
      </w:tr>
      <w:tr>
        <w:tc>
          <w:tcPr>
            <w:tcW w:type="dxa" w:w="1100"/>
            <w:shd w:fill="F2F2F2" w:val="clear"/>
          </w:tcPr>
          <w:p>
            <w:pPr>
              <w:jc w:val="left"/>
            </w:pPr>
            <w:r>
              <w:rPr>
                <w:b/>
                <w:bCs/>
                <w:sz w:val="19"/>
                <w:szCs w:val="19"/>
              </w:rPr>
              <w:t xml:space="preserve">y₂</w:t>
            </w:r>
          </w:p>
        </w:tc>
        <w:tc>
          <w:tcPr>
            <w:tcW w:type="dxa" w:w="2700"/>
            <w:shd w:fill="F2F2F2" w:val="clear"/>
          </w:tcPr>
          <w:p>
            <w:pPr>
              <w:jc w:val="center"/>
            </w:pPr>
            <w:r>
              <w:rPr>
                <w:b w:val="false"/>
                <w:bCs w:val="false"/>
                <w:sz w:val="19"/>
                <w:szCs w:val="19"/>
              </w:rPr>
              <w:t xml:space="preserve">SA Score</w:t>
            </w:r>
          </w:p>
        </w:tc>
        <w:tc>
          <w:tcPr>
            <w:tcW w:type="dxa" w:w="1700"/>
            <w:shd w:fill="F2F2F2" w:val="clear"/>
          </w:tcPr>
          <w:p>
            <w:pPr>
              <w:jc w:val="center"/>
            </w:pPr>
            <w:r>
              <w:rPr>
                <w:b w:val="false"/>
                <w:bCs w:val="false"/>
                <w:sz w:val="19"/>
                <w:szCs w:val="19"/>
              </w:rPr>
              <w:t xml:space="preserve">DIS</w:t>
            </w:r>
          </w:p>
        </w:tc>
        <w:tc>
          <w:tcPr>
            <w:tcW w:type="dxa" w:w="1360"/>
            <w:shd w:fill="F2F2F2" w:val="clear"/>
          </w:tcPr>
          <w:p>
            <w:pPr>
              <w:jc w:val="center"/>
            </w:pPr>
            <w:r>
              <w:rPr>
                <w:b w:val="false"/>
                <w:bCs w:val="false"/>
                <w:sz w:val="19"/>
                <w:szCs w:val="19"/>
              </w:rPr>
              <w:t xml:space="preserve">A, B, C</w:t>
            </w:r>
          </w:p>
        </w:tc>
        <w:tc>
          <w:tcPr>
            <w:tcW w:type="dxa" w:w="2500"/>
            <w:shd w:fill="F2F2F2" w:val="clear"/>
          </w:tcPr>
          <w:p>
            <w:pPr>
              <w:jc w:val="center"/>
            </w:pPr>
            <w:r>
              <w:rPr>
                <w:b w:val="false"/>
                <w:bCs w:val="false"/>
                <w:sz w:val="19"/>
                <w:szCs w:val="19"/>
              </w:rPr>
              <w:t xml:space="preserve">spaCy dependency parsing</w:t>
            </w:r>
          </w:p>
        </w:tc>
      </w:tr>
      <w:tr>
        <w:tc>
          <w:tcPr>
            <w:tcW w:type="dxa" w:w="1100"/>
            <w:shd w:fill="FFFFFF" w:val="clear"/>
          </w:tcPr>
          <w:p>
            <w:pPr>
              <w:jc w:val="left"/>
            </w:pPr>
            <w:r>
              <w:rPr>
                <w:b/>
                <w:bCs/>
                <w:sz w:val="19"/>
                <w:szCs w:val="19"/>
              </w:rPr>
              <w:t xml:space="preserve">y₄</w:t>
            </w:r>
          </w:p>
        </w:tc>
        <w:tc>
          <w:tcPr>
            <w:tcW w:type="dxa" w:w="2700"/>
            <w:shd w:fill="FFFFFF" w:val="clear"/>
          </w:tcPr>
          <w:p>
            <w:pPr>
              <w:jc w:val="center"/>
            </w:pPr>
            <w:r>
              <w:rPr>
                <w:b w:val="false"/>
                <w:bCs w:val="false"/>
                <w:sz w:val="19"/>
                <w:szCs w:val="19"/>
              </w:rPr>
              <w:t xml:space="preserve">NV Score</w:t>
            </w:r>
          </w:p>
        </w:tc>
        <w:tc>
          <w:tcPr>
            <w:tcW w:type="dxa" w:w="1700"/>
            <w:shd w:fill="FFFFFF" w:val="clear"/>
          </w:tcPr>
          <w:p>
            <w:pPr>
              <w:jc w:val="center"/>
            </w:pPr>
            <w:r>
              <w:rPr>
                <w:b w:val="false"/>
                <w:bCs w:val="false"/>
                <w:sz w:val="19"/>
                <w:szCs w:val="19"/>
              </w:rPr>
              <w:t xml:space="preserve">IEI</w:t>
            </w:r>
          </w:p>
        </w:tc>
        <w:tc>
          <w:tcPr>
            <w:tcW w:type="dxa" w:w="1360"/>
            <w:shd w:fill="FFFFFF" w:val="clear"/>
          </w:tcPr>
          <w:p>
            <w:pPr>
              <w:jc w:val="center"/>
            </w:pPr>
            <w:r>
              <w:rPr>
                <w:b w:val="false"/>
                <w:bCs w:val="false"/>
                <w:sz w:val="19"/>
                <w:szCs w:val="19"/>
              </w:rPr>
              <w:t xml:space="preserve">A, B, C</w:t>
            </w:r>
          </w:p>
        </w:tc>
        <w:tc>
          <w:tcPr>
            <w:tcW w:type="dxa" w:w="2500"/>
            <w:shd w:fill="FFFFFF" w:val="clear"/>
          </w:tcPr>
          <w:p>
            <w:pPr>
              <w:jc w:val="center"/>
            </w:pPr>
            <w:r>
              <w:rPr>
                <w:b w:val="false"/>
                <w:bCs w:val="false"/>
                <w:sz w:val="19"/>
                <w:szCs w:val="19"/>
              </w:rPr>
              <w:t xml:space="preserve">CFH-BERT v2 (IO tagging)</w:t>
            </w:r>
          </w:p>
        </w:tc>
      </w:tr>
      <w:tr>
        <w:tc>
          <w:tcPr>
            <w:tcW w:type="dxa" w:w="1100"/>
            <w:shd w:fill="F2F2F2" w:val="clear"/>
          </w:tcPr>
          <w:p>
            <w:pPr>
              <w:jc w:val="left"/>
            </w:pPr>
            <w:r>
              <w:rPr>
                <w:b/>
                <w:bCs/>
                <w:sz w:val="19"/>
                <w:szCs w:val="19"/>
              </w:rPr>
              <w:t xml:space="preserve">y₈</w:t>
            </w:r>
          </w:p>
        </w:tc>
        <w:tc>
          <w:tcPr>
            <w:tcW w:type="dxa" w:w="2700"/>
            <w:shd w:fill="F2F2F2" w:val="clear"/>
          </w:tcPr>
          <w:p>
            <w:pPr>
              <w:jc w:val="center"/>
            </w:pPr>
            <w:r>
              <w:rPr>
                <w:b w:val="false"/>
                <w:bCs w:val="false"/>
                <w:sz w:val="19"/>
                <w:szCs w:val="19"/>
              </w:rPr>
              <w:t xml:space="preserve">Dist. MAFAPO</w:t>
            </w:r>
          </w:p>
        </w:tc>
        <w:tc>
          <w:tcPr>
            <w:tcW w:type="dxa" w:w="1700"/>
            <w:shd w:fill="F2F2F2" w:val="clear"/>
          </w:tcPr>
          <w:p>
            <w:pPr>
              <w:jc w:val="center"/>
            </w:pPr>
            <w:r>
              <w:rPr>
                <w:b w:val="false"/>
                <w:bCs w:val="false"/>
                <w:sz w:val="19"/>
                <w:szCs w:val="19"/>
              </w:rPr>
              <w:t xml:space="preserve">IEI</w:t>
            </w:r>
          </w:p>
        </w:tc>
        <w:tc>
          <w:tcPr>
            <w:tcW w:type="dxa" w:w="1360"/>
            <w:shd w:fill="F2F2F2" w:val="clear"/>
          </w:tcPr>
          <w:p>
            <w:pPr>
              <w:jc w:val="center"/>
            </w:pPr>
            <w:r>
              <w:rPr>
                <w:b w:val="false"/>
                <w:bCs w:val="false"/>
                <w:sz w:val="19"/>
                <w:szCs w:val="19"/>
              </w:rPr>
              <w:t xml:space="preserve">A, B, C</w:t>
            </w:r>
          </w:p>
        </w:tc>
        <w:tc>
          <w:tcPr>
            <w:tcW w:type="dxa" w:w="2500"/>
            <w:shd w:fill="F2F2F2" w:val="clear"/>
          </w:tcPr>
          <w:p>
            <w:pPr>
              <w:jc w:val="center"/>
            </w:pPr>
            <w:r>
              <w:rPr>
                <w:b w:val="false"/>
                <w:bCs w:val="false"/>
                <w:sz w:val="19"/>
                <w:szCs w:val="19"/>
              </w:rPr>
              <w:t xml:space="preserve">ConfliBERT-Spanish cosine</w:t>
            </w:r>
          </w:p>
        </w:tc>
      </w:tr>
      <w:tr>
        <w:tc>
          <w:tcPr>
            <w:tcW w:type="dxa" w:w="1100"/>
            <w:shd w:fill="FFFFFF" w:val="clear"/>
          </w:tcPr>
          <w:p>
            <w:pPr>
              <w:jc w:val="left"/>
            </w:pPr>
            <w:r>
              <w:rPr>
                <w:b/>
                <w:bCs/>
                <w:sz w:val="19"/>
                <w:szCs w:val="19"/>
              </w:rPr>
              <w:t xml:space="preserve">y₉</w:t>
            </w:r>
          </w:p>
        </w:tc>
        <w:tc>
          <w:tcPr>
            <w:tcW w:type="dxa" w:w="2700"/>
            <w:shd w:fill="FFFFFF" w:val="clear"/>
          </w:tcPr>
          <w:p>
            <w:pPr>
              <w:jc w:val="center"/>
            </w:pPr>
            <w:r>
              <w:rPr>
                <w:b w:val="false"/>
                <w:bCs w:val="false"/>
                <w:sz w:val="19"/>
                <w:szCs w:val="19"/>
              </w:rPr>
              <w:t xml:space="preserve">Dist. CIDH</w:t>
            </w:r>
          </w:p>
        </w:tc>
        <w:tc>
          <w:tcPr>
            <w:tcW w:type="dxa" w:w="1700"/>
            <w:shd w:fill="FFFFFF" w:val="clear"/>
          </w:tcPr>
          <w:p>
            <w:pPr>
              <w:jc w:val="center"/>
            </w:pPr>
            <w:r>
              <w:rPr>
                <w:b w:val="false"/>
                <w:bCs w:val="false"/>
                <w:sz w:val="19"/>
                <w:szCs w:val="19"/>
              </w:rPr>
              <w:t xml:space="preserve">IEI</w:t>
            </w:r>
          </w:p>
        </w:tc>
        <w:tc>
          <w:tcPr>
            <w:tcW w:type="dxa" w:w="1360"/>
            <w:shd w:fill="FFFFFF" w:val="clear"/>
          </w:tcPr>
          <w:p>
            <w:pPr>
              <w:jc w:val="center"/>
            </w:pPr>
            <w:r>
              <w:rPr>
                <w:b w:val="false"/>
                <w:bCs w:val="false"/>
                <w:sz w:val="19"/>
                <w:szCs w:val="19"/>
              </w:rPr>
              <w:t xml:space="preserve">A, B, C</w:t>
            </w:r>
          </w:p>
        </w:tc>
        <w:tc>
          <w:tcPr>
            <w:tcW w:type="dxa" w:w="2500"/>
            <w:shd w:fill="FFFFFF" w:val="clear"/>
          </w:tcPr>
          <w:p>
            <w:pPr>
              <w:jc w:val="center"/>
            </w:pPr>
            <w:r>
              <w:rPr>
                <w:b w:val="false"/>
                <w:bCs w:val="false"/>
                <w:sz w:val="19"/>
                <w:szCs w:val="19"/>
              </w:rPr>
              <w:t xml:space="preserve">ConfliBERT-Spanish cosine</w:t>
            </w:r>
          </w:p>
        </w:tc>
      </w:tr>
      <w:tr>
        <w:tc>
          <w:tcPr>
            <w:tcW w:type="dxa" w:w="1100"/>
            <w:shd w:fill="F2F2F2" w:val="clear"/>
          </w:tcPr>
          <w:p>
            <w:pPr>
              <w:jc w:val="left"/>
            </w:pPr>
            <w:r>
              <w:rPr>
                <w:b/>
                <w:bCs/>
                <w:sz w:val="19"/>
                <w:szCs w:val="19"/>
              </w:rPr>
              <w:t xml:space="preserve">y₁₀</w:t>
            </w:r>
          </w:p>
        </w:tc>
        <w:tc>
          <w:tcPr>
            <w:tcW w:type="dxa" w:w="2700"/>
            <w:shd w:fill="F2F2F2" w:val="clear"/>
          </w:tcPr>
          <w:p>
            <w:pPr>
              <w:jc w:val="center"/>
            </w:pPr>
            <w:r>
              <w:rPr>
                <w:b w:val="false"/>
                <w:bCs w:val="false"/>
                <w:sz w:val="19"/>
                <w:szCs w:val="19"/>
              </w:rPr>
              <w:t xml:space="preserve">REP Score</w:t>
            </w:r>
          </w:p>
        </w:tc>
        <w:tc>
          <w:tcPr>
            <w:tcW w:type="dxa" w:w="1700"/>
            <w:shd w:fill="F2F2F2" w:val="clear"/>
          </w:tcPr>
          <w:p>
            <w:pPr>
              <w:jc w:val="center"/>
            </w:pPr>
            <w:r>
              <w:rPr>
                <w:b w:val="false"/>
                <w:bCs w:val="false"/>
                <w:sz w:val="19"/>
                <w:szCs w:val="19"/>
              </w:rPr>
              <w:t xml:space="preserve">DIS (1−REP)</w:t>
            </w:r>
          </w:p>
        </w:tc>
        <w:tc>
          <w:tcPr>
            <w:tcW w:type="dxa" w:w="1360"/>
            <w:shd w:fill="F2F2F2" w:val="clear"/>
          </w:tcPr>
          <w:p>
            <w:pPr>
              <w:jc w:val="center"/>
            </w:pPr>
            <w:r>
              <w:rPr>
                <w:b w:val="false"/>
                <w:bCs w:val="false"/>
                <w:sz w:val="19"/>
                <w:szCs w:val="19"/>
              </w:rPr>
              <w:t xml:space="preserve">A, B, C</w:t>
            </w:r>
          </w:p>
        </w:tc>
        <w:tc>
          <w:tcPr>
            <w:tcW w:type="dxa" w:w="2500"/>
            <w:shd w:fill="F2F2F2" w:val="clear"/>
          </w:tcPr>
          <w:p>
            <w:pPr>
              <w:jc w:val="center"/>
            </w:pPr>
            <w:r>
              <w:rPr>
                <w:b w:val="false"/>
                <w:bCs w:val="false"/>
                <w:sz w:val="19"/>
                <w:szCs w:val="19"/>
              </w:rPr>
              <w:t xml:space="preserve">CFH-BERT v2 (IO tagging)</w:t>
            </w:r>
          </w:p>
        </w:tc>
      </w:tr>
      <w:tr>
        <w:tc>
          <w:tcPr>
            <w:tcW w:type="dxa" w:w="1100"/>
            <w:shd w:fill="FFFFFF" w:val="clear"/>
          </w:tcPr>
          <w:p>
            <w:pPr>
              <w:jc w:val="left"/>
            </w:pPr>
            <w:r>
              <w:rPr>
                <w:b/>
                <w:bCs/>
                <w:sz w:val="19"/>
                <w:szCs w:val="19"/>
              </w:rPr>
              <w:t xml:space="preserve">y₁₁</w:t>
            </w:r>
          </w:p>
        </w:tc>
        <w:tc>
          <w:tcPr>
            <w:tcW w:type="dxa" w:w="2700"/>
            <w:shd w:fill="FFFFFF" w:val="clear"/>
          </w:tcPr>
          <w:p>
            <w:pPr>
              <w:jc w:val="center"/>
            </w:pPr>
            <w:r>
              <w:rPr>
                <w:b w:val="false"/>
                <w:bCs w:val="false"/>
                <w:sz w:val="19"/>
                <w:szCs w:val="19"/>
              </w:rPr>
              <w:t xml:space="preserve">Densidad dialógica/testimonial</w:t>
            </w:r>
          </w:p>
        </w:tc>
        <w:tc>
          <w:tcPr>
            <w:tcW w:type="dxa" w:w="1700"/>
            <w:shd w:fill="FFFFFF" w:val="clear"/>
          </w:tcPr>
          <w:p>
            <w:pPr>
              <w:jc w:val="center"/>
            </w:pPr>
            <w:r>
              <w:rPr>
                <w:b w:val="false"/>
                <w:bCs w:val="false"/>
                <w:sz w:val="19"/>
                <w:szCs w:val="19"/>
              </w:rPr>
              <w:t xml:space="preserve">(transición ep.)</w:t>
            </w:r>
          </w:p>
        </w:tc>
        <w:tc>
          <w:tcPr>
            <w:tcW w:type="dxa" w:w="1360"/>
            <w:shd w:fill="FFFFFF" w:val="clear"/>
          </w:tcPr>
          <w:p>
            <w:pPr>
              <w:jc w:val="center"/>
            </w:pPr>
            <w:r>
              <w:rPr>
                <w:b w:val="false"/>
                <w:bCs w:val="false"/>
                <w:sz w:val="19"/>
                <w:szCs w:val="19"/>
              </w:rPr>
              <w:t xml:space="preserve">C</w:t>
            </w:r>
          </w:p>
        </w:tc>
        <w:tc>
          <w:tcPr>
            <w:tcW w:type="dxa" w:w="2500"/>
            <w:shd w:fill="FFFFFF" w:val="clear"/>
          </w:tcPr>
          <w:p>
            <w:pPr>
              <w:jc w:val="center"/>
            </w:pPr>
            <w:r>
              <w:rPr>
                <w:b w:val="false"/>
                <w:bCs w:val="false"/>
                <w:sz w:val="19"/>
                <w:szCs w:val="19"/>
              </w:rPr>
              <w:t xml:space="preserve">Densidad léxica</w:t>
            </w:r>
          </w:p>
        </w:tc>
      </w:tr>
      <w:tr>
        <w:tc>
          <w:tcPr>
            <w:tcW w:type="dxa" w:w="1100"/>
            <w:shd w:fill="F2F2F2" w:val="clear"/>
          </w:tcPr>
          <w:p>
            <w:pPr>
              <w:jc w:val="left"/>
            </w:pPr>
            <w:r>
              <w:rPr>
                <w:b/>
                <w:bCs/>
                <w:sz w:val="19"/>
                <w:szCs w:val="19"/>
              </w:rPr>
              <w:t xml:space="preserve">ICM</w:t>
            </w:r>
          </w:p>
        </w:tc>
        <w:tc>
          <w:tcPr>
            <w:tcW w:type="dxa" w:w="2700"/>
            <w:shd w:fill="F2F2F2" w:val="clear"/>
          </w:tcPr>
          <w:p>
            <w:pPr>
              <w:jc w:val="center"/>
            </w:pPr>
            <w:r>
              <w:rPr>
                <w:b w:val="false"/>
                <w:bCs w:val="false"/>
                <w:sz w:val="19"/>
                <w:szCs w:val="19"/>
              </w:rPr>
              <w:t xml:space="preserve">Congruencia multimodal</w:t>
            </w:r>
          </w:p>
        </w:tc>
        <w:tc>
          <w:tcPr>
            <w:tcW w:type="dxa" w:w="1700"/>
            <w:shd w:fill="F2F2F2" w:val="clear"/>
          </w:tcPr>
          <w:p>
            <w:pPr>
              <w:jc w:val="center"/>
            </w:pPr>
            <w:r>
              <w:rPr>
                <w:b w:val="false"/>
                <w:bCs w:val="false"/>
                <w:sz w:val="19"/>
                <w:szCs w:val="19"/>
              </w:rPr>
              <w:t xml:space="preserve">ICM</w:t>
            </w:r>
          </w:p>
        </w:tc>
        <w:tc>
          <w:tcPr>
            <w:tcW w:type="dxa" w:w="1360"/>
            <w:shd w:fill="F2F2F2" w:val="clear"/>
          </w:tcPr>
          <w:p>
            <w:pPr>
              <w:jc w:val="center"/>
            </w:pPr>
            <w:r>
              <w:rPr>
                <w:b w:val="false"/>
                <w:bCs w:val="false"/>
                <w:sz w:val="19"/>
                <w:szCs w:val="19"/>
              </w:rPr>
              <w:t xml:space="preserve">C</w:t>
            </w:r>
          </w:p>
        </w:tc>
        <w:tc>
          <w:tcPr>
            <w:tcW w:type="dxa" w:w="2500"/>
            <w:shd w:fill="F2F2F2" w:val="clear"/>
          </w:tcPr>
          <w:p>
            <w:pPr>
              <w:jc w:val="center"/>
            </w:pPr>
            <w:r>
              <w:rPr>
                <w:b w:val="false"/>
                <w:bCs w:val="false"/>
                <w:sz w:val="19"/>
                <w:szCs w:val="19"/>
              </w:rPr>
              <w:t xml:space="preserve">OpenSMILE + MediaPipe</w:t>
            </w:r>
          </w:p>
        </w:tc>
      </w:tr>
      <w:tr>
        <w:tc>
          <w:tcPr>
            <w:tcW w:type="dxa" w:w="1100"/>
            <w:shd w:fill="FFFFFF" w:val="clear"/>
          </w:tcPr>
          <w:p>
            <w:pPr>
              <w:jc w:val="left"/>
            </w:pPr>
            <w:r>
              <w:rPr>
                <w:b/>
                <w:bCs/>
                <w:sz w:val="19"/>
                <w:szCs w:val="19"/>
              </w:rPr>
              <w:t xml:space="preserve">y₇</w:t>
            </w:r>
          </w:p>
        </w:tc>
        <w:tc>
          <w:tcPr>
            <w:tcW w:type="dxa" w:w="2700"/>
            <w:shd w:fill="FFFFFF" w:val="clear"/>
          </w:tcPr>
          <w:p>
            <w:pPr>
              <w:jc w:val="center"/>
            </w:pPr>
            <w:r>
              <w:rPr>
                <w:b w:val="false"/>
                <w:bCs w:val="false"/>
                <w:sz w:val="19"/>
                <w:szCs w:val="19"/>
              </w:rPr>
              <w:t xml:space="preserve">Surprisal contrastivo</w:t>
            </w:r>
          </w:p>
        </w:tc>
        <w:tc>
          <w:tcPr>
            <w:tcW w:type="dxa" w:w="1700"/>
            <w:shd w:fill="FFFFFF" w:val="clear"/>
          </w:tcPr>
          <w:p>
            <w:pPr>
              <w:jc w:val="center"/>
            </w:pPr>
            <w:r>
              <w:rPr>
                <w:b w:val="false"/>
                <w:bCs w:val="false"/>
                <w:sz w:val="19"/>
                <w:szCs w:val="19"/>
              </w:rPr>
              <w:t xml:space="preserve">descriptivo</w:t>
            </w:r>
          </w:p>
        </w:tc>
        <w:tc>
          <w:tcPr>
            <w:tcW w:type="dxa" w:w="1360"/>
            <w:shd w:fill="FFFFFF" w:val="clear"/>
          </w:tcPr>
          <w:p>
            <w:pPr>
              <w:jc w:val="center"/>
            </w:pPr>
            <w:r>
              <w:rPr>
                <w:b w:val="false"/>
                <w:bCs w:val="false"/>
                <w:sz w:val="19"/>
                <w:szCs w:val="19"/>
              </w:rPr>
              <w:t xml:space="preserve">A, B, C</w:t>
            </w:r>
          </w:p>
        </w:tc>
        <w:tc>
          <w:tcPr>
            <w:tcW w:type="dxa" w:w="2500"/>
            <w:shd w:fill="FFFFFF" w:val="clear"/>
          </w:tcPr>
          <w:p>
            <w:pPr>
              <w:jc w:val="center"/>
            </w:pPr>
            <w:r>
              <w:rPr>
                <w:b w:val="false"/>
                <w:bCs w:val="false"/>
                <w:sz w:val="19"/>
                <w:szCs w:val="19"/>
              </w:rPr>
              <w:t xml:space="preserve">BETO − ConfliBERT (PLL)</w:t>
            </w:r>
          </w:p>
        </w:tc>
      </w:tr>
      <w:tr>
        <w:tc>
          <w:tcPr>
            <w:tcW w:type="dxa" w:w="1100"/>
            <w:shd w:fill="F2F2F2" w:val="clear"/>
          </w:tcPr>
          <w:p>
            <w:pPr>
              <w:jc w:val="left"/>
            </w:pPr>
            <w:r>
              <w:rPr>
                <w:b/>
                <w:bCs/>
                <w:sz w:val="19"/>
                <w:szCs w:val="19"/>
              </w:rPr>
              <w:t xml:space="preserve">y₅</w:t>
            </w:r>
          </w:p>
        </w:tc>
        <w:tc>
          <w:tcPr>
            <w:tcW w:type="dxa" w:w="2700"/>
            <w:shd w:fill="F2F2F2" w:val="clear"/>
          </w:tcPr>
          <w:p>
            <w:pPr>
              <w:jc w:val="center"/>
            </w:pPr>
            <w:r>
              <w:rPr>
                <w:b w:val="false"/>
                <w:bCs w:val="false"/>
                <w:sz w:val="19"/>
                <w:szCs w:val="19"/>
              </w:rPr>
              <w:t xml:space="preserve">Tipo de corpus</w:t>
            </w:r>
          </w:p>
        </w:tc>
        <w:tc>
          <w:tcPr>
            <w:tcW w:type="dxa" w:w="1700"/>
            <w:shd w:fill="F2F2F2" w:val="clear"/>
          </w:tcPr>
          <w:p>
            <w:pPr>
              <w:jc w:val="center"/>
            </w:pPr>
            <w:r>
              <w:rPr>
                <w:b w:val="false"/>
                <w:bCs w:val="false"/>
                <w:sz w:val="19"/>
                <w:szCs w:val="19"/>
              </w:rPr>
              <w:t xml:space="preserve">descriptivo</w:t>
            </w:r>
          </w:p>
        </w:tc>
        <w:tc>
          <w:tcPr>
            <w:tcW w:type="dxa" w:w="1360"/>
            <w:shd w:fill="F2F2F2" w:val="clear"/>
          </w:tcPr>
          <w:p>
            <w:pPr>
              <w:jc w:val="center"/>
            </w:pPr>
            <w:r>
              <w:rPr>
                <w:b w:val="false"/>
                <w:bCs w:val="false"/>
                <w:sz w:val="19"/>
                <w:szCs w:val="19"/>
              </w:rPr>
              <w:t xml:space="preserve">A, B, C</w:t>
            </w:r>
          </w:p>
        </w:tc>
        <w:tc>
          <w:tcPr>
            <w:tcW w:type="dxa" w:w="2500"/>
            <w:shd w:fill="F2F2F2" w:val="clear"/>
          </w:tcPr>
          <w:p>
            <w:pPr>
              <w:jc w:val="center"/>
            </w:pPr>
            <w:r>
              <w:rPr>
                <w:b w:val="false"/>
                <w:bCs w:val="false"/>
                <w:sz w:val="19"/>
                <w:szCs w:val="19"/>
              </w:rPr>
              <w:t xml:space="preserve">Variable categórica</w:t>
            </w:r>
          </w:p>
        </w:tc>
      </w:tr>
      <w:tr>
        <w:tc>
          <w:tcPr>
            <w:tcW w:type="dxa" w:w="1100"/>
            <w:shd w:fill="FFFFFF" w:val="clear"/>
          </w:tcPr>
          <w:p>
            <w:pPr>
              <w:jc w:val="left"/>
            </w:pPr>
            <w:r>
              <w:rPr>
                <w:b/>
                <w:bCs/>
                <w:sz w:val="19"/>
                <w:szCs w:val="19"/>
              </w:rPr>
              <w:t xml:space="preserve">y₆</w:t>
            </w:r>
          </w:p>
        </w:tc>
        <w:tc>
          <w:tcPr>
            <w:tcW w:type="dxa" w:w="2700"/>
            <w:shd w:fill="FFFFFF" w:val="clear"/>
          </w:tcPr>
          <w:p>
            <w:pPr>
              <w:jc w:val="center"/>
            </w:pPr>
            <w:r>
              <w:rPr>
                <w:b w:val="false"/>
                <w:bCs w:val="false"/>
                <w:sz w:val="19"/>
                <w:szCs w:val="19"/>
              </w:rPr>
              <w:t xml:space="preserve">Período normativo</w:t>
            </w:r>
          </w:p>
        </w:tc>
        <w:tc>
          <w:tcPr>
            <w:tcW w:type="dxa" w:w="1700"/>
            <w:shd w:fill="FFFFFF" w:val="clear"/>
          </w:tcPr>
          <w:p>
            <w:pPr>
              <w:jc w:val="center"/>
            </w:pPr>
            <w:r>
              <w:rPr>
                <w:b w:val="false"/>
                <w:bCs w:val="false"/>
                <w:sz w:val="19"/>
                <w:szCs w:val="19"/>
              </w:rPr>
              <w:t xml:space="preserve">descriptivo</w:t>
            </w:r>
          </w:p>
        </w:tc>
        <w:tc>
          <w:tcPr>
            <w:tcW w:type="dxa" w:w="1360"/>
            <w:shd w:fill="FFFFFF" w:val="clear"/>
          </w:tcPr>
          <w:p>
            <w:pPr>
              <w:jc w:val="center"/>
            </w:pPr>
            <w:r>
              <w:rPr>
                <w:b w:val="false"/>
                <w:bCs w:val="false"/>
                <w:sz w:val="19"/>
                <w:szCs w:val="19"/>
              </w:rPr>
              <w:t xml:space="preserve">A, B</w:t>
            </w:r>
          </w:p>
        </w:tc>
        <w:tc>
          <w:tcPr>
            <w:tcW w:type="dxa" w:w="2500"/>
            <w:shd w:fill="FFFFFF" w:val="clear"/>
          </w:tcPr>
          <w:p>
            <w:pPr>
              <w:jc w:val="center"/>
            </w:pPr>
            <w:r>
              <w:rPr>
                <w:b w:val="false"/>
                <w:bCs w:val="false"/>
                <w:sz w:val="19"/>
                <w:szCs w:val="19"/>
              </w:rPr>
              <w:t xml:space="preserve">Variable continua (año)</w:t>
            </w:r>
          </w:p>
        </w:tc>
      </w:tr>
    </w:tbl>
    <w:p>
      <w:pPr>
        <w:spacing w:after="120" w:line="276"/>
        <w:jc w:val="both"/>
      </w:pPr>
      <w:r>
        <w:rPr>
          <w:sz w:val="22"/>
          <w:szCs w:val="22"/>
        </w:rPr>
        <w:t xml:space="preserve">La tabla refleja la formulación definitiva del framework: el DIS integra EBI, SA y (1−REP); el IEI integra las distancias MAFAPO y CIDH junto con la NV; y el ICM opera exclusivamente sobre el Corpus C. Los indicadores y₅ (tipo de corpus), y₆ (período normativo) y y₇ (surprisal contrastivo) se calculan y reportan con fines descriptivos, como caracterización del corpus, y no forman parte de la composición de los índices sintéticos.</w:t>
      </w:r>
    </w:p>
    <w:p>
      <w:pPr>
        <w:pStyle w:val="Heading2"/>
        <w:spacing w:after="100" w:before="200"/>
      </w:pPr>
      <w:r>
        <w:rPr>
          <w:b/>
          <w:bCs/>
          <w:color w:val="1F3864"/>
          <w:sz w:val="26"/>
          <w:szCs w:val="26"/>
        </w:rPr>
        <w:t xml:space="preserve">3.9 Fundamentación teórica de la estrategia analítica</w:t>
      </w:r>
    </w:p>
    <w:p>
      <w:pPr>
        <w:spacing w:after="120" w:line="276"/>
        <w:jc w:val="both"/>
      </w:pPr>
      <w:r>
        <w:rPr>
          <w:sz w:val="22"/>
          <w:szCs w:val="22"/>
        </w:rPr>
        <w:t xml:space="preserve">La elección de la estrategia analítica de la CFH no es meramente técnica: cada decisión metodológica responde a una exigencia conceptual del objeto de estudio. Esta sección fundamenta teóricamente por qué la medición de dimensiones independientes, el uso de pesos teóricos, el análisis de senderos, la fiabilidad inter-anotador y el modelado de ecuaciones estructurales son pertinentes —y en varios casos necesarios— para un trabajo de procesamiento de lenguaje natural sobre justicia transicional. El desarrollo procedimental de cada uno se presenta en el Capítulo 4; aquí se argumenta su relevancia conceptual.</w:t>
      </w:r>
    </w:p>
    <w:p>
      <w:pPr>
        <w:pStyle w:val="Heading3"/>
        <w:spacing w:after="80" w:before="160"/>
      </w:pPr>
      <w:r>
        <w:rPr>
          <w:b/>
          <w:bCs/>
          <w:color w:val="1F3864"/>
          <w:sz w:val="23"/>
          <w:szCs w:val="23"/>
        </w:rPr>
        <w:t xml:space="preserve">3.9.1 La independencia dimensional como tesis teórica</w:t>
      </w:r>
    </w:p>
    <w:p>
      <w:pPr>
        <w:spacing w:after="120" w:line="276"/>
        <w:jc w:val="both"/>
      </w:pPr>
      <w:r>
        <w:rPr>
          <w:sz w:val="22"/>
          <w:szCs w:val="22"/>
        </w:rPr>
        <w:t xml:space="preserve">Que el framework produzca tres índices no correlacionados no es un subproducto del diseño sino una tesis sustantiva sobre la naturaleza del daño. La injusticia que el archivo judicial produce sobre las víctimas es un constructo multidimensional: la distorsión discursiva de superficie (cómo se nombra el crimen), la descalificación epistémica (si se reconoce a la víctima como sujeto de conocimiento) y la congruencia del reconocimiento oral (si el perdón es habitado o performativo) son facetas conceptualmente distintas que no tienen por qué covariar. Un discurso puede corregir sus mecanismos gramaticales de superficie sin acortar la distancia al espacio hermenéutico de las víctimas, o exhibir un canal verbal reparador mientras los canales no verbales lo desmienten. La medición de dimensiones separadas —en lugar de un índice global único— es la operacionalización de esta tesis: si el daño fuera unidimensional, un solo índice bastaría; que se requieran tres refleja la estructura real del fenómeno. La evidencia empírica de esta independencia se presenta en el Capítulo 5.</w:t>
      </w:r>
    </w:p>
    <w:p>
      <w:pPr>
        <w:pStyle w:val="Heading3"/>
        <w:spacing w:after="80" w:before="160"/>
      </w:pPr>
      <w:r>
        <w:rPr>
          <w:b/>
          <w:bCs/>
          <w:color w:val="1F3864"/>
          <w:sz w:val="23"/>
          <w:szCs w:val="23"/>
        </w:rPr>
        <w:t xml:space="preserve">3.9.2 Pesos teóricos y parsimonia</w:t>
      </w:r>
    </w:p>
    <w:p>
      <w:pPr>
        <w:spacing w:after="120" w:line="276"/>
        <w:jc w:val="both"/>
      </w:pPr>
      <w:r>
        <w:rPr>
          <w:sz w:val="22"/>
          <w:szCs w:val="22"/>
        </w:rPr>
        <w:t xml:space="preserve">Los pesos de los índices DIS e IEI se derivan de los marcos teóricos —Galtung, Habermas, Fraser y Fricker— y no se optimizan sobre los datos. Esta decisión tiene fundamento conceptual y metodológico. Conceptualmente, anclar los pesos en la teoría preserva la interpretabilidad de los índices: cada componente pesa según su lugar en la arquitectura teórica del daño, no según su capacidad de discriminar en una muestra particular. Metodológicamente, los pesos teóricos evitan el sobreajuste que produciría calibrar los pesos sobre un corpus limitado, garantizando que el índice sea transferible a otros archivos de justicia transicional. El principio de parsimonia opera aquí como criterio de diagnóstico, no de construcción: una vez fijados los pesos teóricos, se verifica que los hallazgos del framework sean robustos a variaciones plausibles de esos pesos —es decir, que no sean artefactos de una especificación particular. La parsimonia confirma la estabilidad del framework; no determina sus pesos. El análisis de robustez correspondiente se presenta en el Capítulo 5.</w:t>
      </w:r>
    </w:p>
    <w:p>
      <w:pPr>
        <w:pStyle w:val="Heading3"/>
        <w:spacing w:after="80" w:before="160"/>
      </w:pPr>
      <w:r>
        <w:rPr>
          <w:b/>
          <w:bCs/>
          <w:color w:val="1F3864"/>
          <w:sz w:val="23"/>
          <w:szCs w:val="23"/>
        </w:rPr>
        <w:t xml:space="preserve">3.9.3 El análisis de senderos: modelar la trayectoria de la transición</w:t>
      </w:r>
    </w:p>
    <w:p>
      <w:pPr>
        <w:spacing w:after="120" w:line="276"/>
        <w:jc w:val="both"/>
      </w:pPr>
      <w:r>
        <w:rPr>
          <w:sz w:val="22"/>
          <w:szCs w:val="22"/>
        </w:rPr>
        <w:t xml:space="preserve">El análisis de senderos (path analysis) es teóricamente pertinente porque la transición epistémica no es un estado sino una trayectoria. La justicia restaurativa (Zehr) y la justicia como reconocimiento (Fraser) conciben la reparación no como un evento aislado sino como el resultado de un proceso: el reconocimiento de la víctima como interlocutora epistémica válida es condición de posibilidad de la reparación genuina. Medir los indicadores por separado captura estados; modelar las relaciones entre ellos captura el proceso. El análisis de senderos permite preguntar si la distancia al lenguaje de las víctimas condiciona la aparición del reconocimiento —es decir, si la corrección de la injusticia hermenéutica antecede y habilita la ruptura epistémica positiva. Esta pregunta es intrínsecamente relacional y no puede responderse midiendo indicadores aislados. En NLP sobre justicia transicional, donde el interés no es solo detectar mecanismos discursivos sino comprender cómo se articulan en el paso de la negación al reconocimiento, el análisis de senderos aporta la capacidad de modelar esa articulación como estructura de dependencias.</w:t>
      </w:r>
    </w:p>
    <w:p>
      <w:pPr>
        <w:pStyle w:val="Heading3"/>
        <w:spacing w:after="80" w:before="160"/>
      </w:pPr>
      <w:r>
        <w:rPr>
          <w:b/>
          <w:bCs/>
          <w:color w:val="1F3864"/>
          <w:sz w:val="23"/>
          <w:szCs w:val="23"/>
        </w:rPr>
        <w:t xml:space="preserve">3.9.4 La fiabilidad inter-anotador como validez intersubjetiva</w:t>
      </w:r>
    </w:p>
    <w:p>
      <w:pPr>
        <w:spacing w:after="120" w:line="276"/>
        <w:jc w:val="both"/>
      </w:pPr>
      <w:r>
        <w:rPr>
          <w:sz w:val="22"/>
          <w:szCs w:val="22"/>
        </w:rPr>
        <w:t xml:space="preserve">La fiabilidad inter-anotador (IAA) no es, en este marco, un mero requisito técnico de validación: es la operacionalización de un principio epistemológico. Los constructos que la CFH mide —el eufemismo bélico, la negación de victimización, la ruptura epistémica positiva— no son categorías neutras sino interpretaciones de fenómenos discursivos cargados de sentido político y moral. Que dos anotadores independientes converjan en su identificación es la garantía de que el constructo posee validez intersubjetiva: que no es una proyección idiosincrática del investigador sino un patrón reconocible del lenguaje. Esta exigencia es especialmente relevante en trabajos sobre justicia transicional, donde la medición de la injusticia debe ser compartible y no impuesta, para no reproducir en el nivel metodológico la misma asimetría epistémica que se denuncia en el objeto de estudio.</w:t>
      </w:r>
    </w:p>
    <w:p>
      <w:pPr>
        <w:spacing w:after="120" w:line="276"/>
        <w:jc w:val="both"/>
      </w:pPr>
      <w:r>
        <w:rPr>
          <w:sz w:val="22"/>
          <w:szCs w:val="22"/>
        </w:rPr>
        <w:t xml:space="preserve">El nivel de acuerdo apropiado para estos constructos merece una precisión teórica. Un acuerdo sustancial —en la escala de Landis y Koch (1977)— y no necesariamente casi perfecto, es el nivel esperable y adecuado para constructos interpretativos de esta naturaleza. La distinción de Zehr entre reconocimiento genuino y performativo, por ejemplo, tiene una frontera intrínsecamente difusa: separar el reconocimiento auténtico del lenguaje jurídico formulaico admite una zona legítima de interpretación razonable. Exigir un acuerdo casi perfecto sobre un constructo que es, por su naturaleza, parcialmente interpretativo, sería teóricamente inadecuado: forzaría una precisión espuria sobre un fenómeno que el propio marco reconoce como matizado. El acuerdo sustancial refleja fielmente que el constructo es reconocible de forma consistente entre anotadores, a la vez que respeta el margen de interpretación inherente al fenómeno.</w:t>
      </w:r>
    </w:p>
    <w:p>
      <w:pPr>
        <w:pStyle w:val="Heading3"/>
        <w:spacing w:after="80" w:before="160"/>
      </w:pPr>
      <w:r>
        <w:rPr>
          <w:b/>
          <w:bCs/>
          <w:color w:val="1F3864"/>
          <w:sz w:val="23"/>
          <w:szCs w:val="23"/>
        </w:rPr>
        <w:t xml:space="preserve">3.9.5 El modelo de ecuaciones estructurales: constructos latentes</w:t>
      </w:r>
    </w:p>
    <w:p>
      <w:pPr>
        <w:spacing w:after="120" w:line="276"/>
        <w:jc w:val="both"/>
      </w:pPr>
      <w:r>
        <w:rPr>
          <w:sz w:val="22"/>
          <w:szCs w:val="22"/>
        </w:rPr>
        <w:t xml:space="preserve">El modelo de ecuaciones estructurales (SEM) es teóricamente pertinente porque los constructos centrales de la CFH son latentes por naturaleza. La injusticia discursiva y la injusticia epistémica no son observables directos: no existe una única variable medible que las capture, sino que se manifiestan a través de múltiples indicadores parciales. Esta es precisamente la estructura que el SEM formaliza —la relación entre variables latentes (los constructos) y sus indicadores observados. La injusticia epistémica de Fricker, en particular, es un constructo latente paradigmático: se infiere de la convergencia de señales léxicas, semánticas y testimoniales, ninguna de las cuales la agota por sí sola. El SEM multigrupo, además, permite formular una pregunta teóricamente central para el diseño comparativo de la tesis: si la estructura del fenómeno —no solo su magnitud— difiere entre la justicia ordinaria y la transicional.</w:t>
      </w:r>
    </w:p>
    <w:p>
      <w:pPr>
        <w:spacing w:after="120" w:line="276"/>
        <w:jc w:val="both"/>
      </w:pPr>
      <w:r>
        <w:rPr>
          <w:sz w:val="22"/>
          <w:szCs w:val="22"/>
        </w:rPr>
        <w:t xml:space="preserve">La limitación muestral del Corpus C (n=47 comparecientes) impone que el modelado con variables latentes se reporte como exploratorio y no confirmatorio. Lejos de ser un defecto del diseño, esta limitación refleja una condición estructural del campo: los corpus de justicia transicional oral son intrínsecamente pequeños —hay un número finito de audiencias de reconocimiento, de comparecientes, de actos testimoniales públicos. La tensión entre la riqueza conceptual del constructo latente y la escasez de datos disponibles es constitutiva de la investigación cuantitativa sobre justicia transicional, y su reconocimiento explícito es una exigencia de honestidad metodológica. Por ello, la CFH complementa el modelado estructural exploratorio con evidencia descriptiva robusta —el contraste inter-corpus y las relaciones entre indicadores observados—, que no depende de la identificación de un modelo latente completo.</w:t>
      </w:r>
    </w:p>
    <w:p>
      <w:pPr>
        <w:pStyle w:val="Heading2"/>
        <w:spacing w:after="100" w:before="200"/>
      </w:pPr>
      <w:r>
        <w:rPr>
          <w:b/>
          <w:bCs/>
          <w:color w:val="1F3864"/>
          <w:sz w:val="26"/>
          <w:szCs w:val="26"/>
        </w:rPr>
        <w:t xml:space="preserve">3.10 Síntesis: la CFH como reparación algorítmica</w:t>
      </w:r>
    </w:p>
    <w:p>
      <w:pPr>
        <w:spacing w:after="120" w:line="276"/>
        <w:jc w:val="both"/>
      </w:pPr>
      <w:r>
        <w:rPr>
          <w:sz w:val="22"/>
          <w:szCs w:val="22"/>
        </w:rPr>
        <w:t xml:space="preserve">El marco teórico desarrollado en este capítulo puede sintetizarse en una proposición central: el archivo judicial colombiano sobre los falsos positivos es un archivo de la violencia cultural —en el sentido de Galtung—, de la falta de reconocimiento —en el sentido de Fraser—, de la colonización sistémica del lenguaje —en el sentido de Habermas— y, articulándolos a todos, de la injusticia epistémica —en el sentido de Fricker. La CFH es una metodología para auditar esa injusticia de manera sistemática, cuantitativa, multimodal y reproducible.</w:t>
      </w:r>
    </w:p>
    <w:p>
      <w:pPr>
        <w:spacing w:after="120" w:line="276"/>
        <w:jc w:val="both"/>
      </w:pPr>
      <w:r>
        <w:rPr>
          <w:sz w:val="22"/>
          <w:szCs w:val="22"/>
        </w:rPr>
        <w:t xml:space="preserve">El concepto de reparación algorítmica denomina esta función: el uso de métodos computacionales para auditar el lenguaje del Estado desde la perspectiva de las víctimas. La reparación algorítmica no reemplaza la reparación real —la documenta, la mide y la audita. Y al hacerlo con un framework replicable, cuya arquitectura de tres capas y tres índices puede aplicarse a archivos de justicia transicional en otros contextos, transforma un caso concreto en un método general para la auditoría del lenguaje del Estado en procesos de posconflicto. La distinción entre injusticia discursiva (DIS), injusticia epistémica (IEI) y congruencia multimodal (ICM) —tres dimensiones empíricamente independientes— es la contribución conceptual que permite que esa auditoría capture la estructura multidimensional del daño, y no una versión aplanada de él.</w:t>
      </w:r>
    </w:p>
    <w:p>
      <w:pPr>
        <w:pStyle w:val="Heading2"/>
        <w:spacing w:after="100" w:before="200"/>
      </w:pPr>
      <w:r>
        <w:rPr>
          <w:b/>
          <w:bCs/>
          <w:color w:val="1F3864"/>
          <w:sz w:val="26"/>
          <w:szCs w:val="26"/>
        </w:rPr>
        <w:t xml:space="preserve">Referencias del capítulo</w:t>
      </w:r>
    </w:p>
    <w:p>
      <w:pPr>
        <w:spacing w:after="80"/>
        <w:ind w:left="360" w:hanging="360"/>
        <w:jc w:val="both"/>
      </w:pPr>
      <w:r>
        <w:rPr>
          <w:sz w:val="20"/>
          <w:szCs w:val="20"/>
        </w:rPr>
        <w:t xml:space="preserve">Baird, A. y Coutinho, E. (2019). Sincerity in Acted Speech: The Sincere Apology Corpus (SinA-C). INTERSPEECH 2019.</w:t>
      </w:r>
    </w:p>
    <w:p>
      <w:pPr>
        <w:spacing w:after="80"/>
        <w:ind w:left="360" w:hanging="360"/>
        <w:jc w:val="both"/>
      </w:pPr>
      <w:r>
        <w:rPr>
          <w:sz w:val="20"/>
          <w:szCs w:val="20"/>
        </w:rPr>
        <w:t xml:space="preserve">Barrett, L. F., Adolphs, R., Marsella, S., Martinez, A. M., y Pollak, S. D. (2019). Emotional Expressions Reconsidered: Challenges to Inferring Emotion From Human Facial Movements. Psychological Science in the Public Interest, 20(1), 1–68.</w:t>
      </w:r>
    </w:p>
    <w:p>
      <w:pPr>
        <w:spacing w:after="80"/>
        <w:ind w:left="360" w:hanging="360"/>
        <w:jc w:val="both"/>
      </w:pPr>
      <w:r>
        <w:rPr>
          <w:sz w:val="20"/>
          <w:szCs w:val="20"/>
        </w:rPr>
        <w:t xml:space="preserve">Boaventura de Sousa Santos, B. (2009). Una epistemología del Sur. Buenos Aires: CLACSO / Siglo XXI.</w:t>
      </w:r>
    </w:p>
    <w:p>
      <w:pPr>
        <w:spacing w:after="80"/>
        <w:ind w:left="360" w:hanging="360"/>
        <w:jc w:val="both"/>
      </w:pPr>
      <w:r>
        <w:rPr>
          <w:sz w:val="20"/>
          <w:szCs w:val="20"/>
        </w:rPr>
        <w:t xml:space="preserve">Buolamwini, J., y Gebru, T. (2018). Gender Shades: Intersectional Accuracy Disparities in Commercial Gender Classification. PMLR, 81, 1–15.</w:t>
      </w:r>
    </w:p>
    <w:p>
      <w:pPr>
        <w:spacing w:after="80"/>
        <w:ind w:left="360" w:hanging="360"/>
        <w:jc w:val="both"/>
      </w:pPr>
      <w:r>
        <w:rPr>
          <w:sz w:val="20"/>
          <w:szCs w:val="20"/>
        </w:rPr>
        <w:t xml:space="preserve">Castillejo-Cuéllar, A. (2016). Poética de lo Otro. Universidad de los Andes.</w:t>
      </w:r>
    </w:p>
    <w:p>
      <w:pPr>
        <w:spacing w:after="80"/>
        <w:ind w:left="360" w:hanging="360"/>
        <w:jc w:val="both"/>
      </w:pPr>
      <w:r>
        <w:rPr>
          <w:sz w:val="20"/>
          <w:szCs w:val="20"/>
        </w:rPr>
        <w:t xml:space="preserve">Crivelli, C., y Fridlund, A. J. (2018). Facial Displays Are Tools for Social Influence. Trends in Cognitive Sciences, 22(5), 388–399.</w:t>
      </w:r>
    </w:p>
    <w:p>
      <w:pPr>
        <w:spacing w:after="80"/>
        <w:ind w:left="360" w:hanging="360"/>
        <w:jc w:val="both"/>
      </w:pPr>
      <w:r>
        <w:rPr>
          <w:sz w:val="20"/>
          <w:szCs w:val="20"/>
        </w:rPr>
        <w:t xml:space="preserve">Dotson, K. (2011). Tracking Epistemic Violence, Tracking Practices of Silencing. Hypatia, 26(2), 236–257.</w:t>
      </w:r>
    </w:p>
    <w:p>
      <w:pPr>
        <w:spacing w:after="80"/>
        <w:ind w:left="360" w:hanging="360"/>
        <w:jc w:val="both"/>
      </w:pPr>
      <w:r>
        <w:rPr>
          <w:sz w:val="20"/>
          <w:szCs w:val="20"/>
        </w:rPr>
        <w:t xml:space="preserve">Fraser, N. (1995). From redistribution to recognition? New Left Review, 212, 68–93.</w:t>
      </w:r>
    </w:p>
    <w:p>
      <w:pPr>
        <w:spacing w:after="80"/>
        <w:ind w:left="360" w:hanging="360"/>
        <w:jc w:val="both"/>
      </w:pPr>
      <w:r>
        <w:rPr>
          <w:sz w:val="20"/>
          <w:szCs w:val="20"/>
        </w:rPr>
        <w:t xml:space="preserve">Fraser, N. (2008). Scales of Justice. Columbia University Press.</w:t>
      </w:r>
    </w:p>
    <w:p>
      <w:pPr>
        <w:spacing w:after="80"/>
        <w:ind w:left="360" w:hanging="360"/>
        <w:jc w:val="both"/>
      </w:pPr>
      <w:r>
        <w:rPr>
          <w:sz w:val="20"/>
          <w:szCs w:val="20"/>
        </w:rPr>
        <w:t xml:space="preserve">Fricker, M. (2007). Epistemic Injustice: Power and the Ethics of Knowing. Oxford University Press.</w:t>
      </w:r>
    </w:p>
    <w:p>
      <w:pPr>
        <w:spacing w:after="80"/>
        <w:ind w:left="360" w:hanging="360"/>
        <w:jc w:val="both"/>
      </w:pPr>
      <w:r>
        <w:rPr>
          <w:sz w:val="20"/>
          <w:szCs w:val="20"/>
        </w:rPr>
        <w:t xml:space="preserve">Galtung, J. (1990). Cultural violence. Journal of Peace Research, 27(3), 291–305.</w:t>
      </w:r>
    </w:p>
    <w:p>
      <w:pPr>
        <w:spacing w:after="80"/>
        <w:ind w:left="360" w:hanging="360"/>
        <w:jc w:val="both"/>
      </w:pPr>
      <w:r>
        <w:rPr>
          <w:sz w:val="20"/>
          <w:szCs w:val="20"/>
        </w:rPr>
        <w:t xml:space="preserve">Habermas, J. (1987). The Theory of Communicative Action, Vol. 2. Beacon Press.</w:t>
      </w:r>
    </w:p>
    <w:p>
      <w:pPr>
        <w:spacing w:after="80"/>
        <w:ind w:left="360" w:hanging="360"/>
        <w:jc w:val="both"/>
      </w:pPr>
      <w:r>
        <w:rPr>
          <w:sz w:val="20"/>
          <w:szCs w:val="20"/>
        </w:rPr>
        <w:t xml:space="preserve">Kline, R. B. (2023). Principles and Practice of Structural Equation Modeling (5.ª ed.). Guilford Press.</w:t>
      </w:r>
    </w:p>
    <w:p>
      <w:pPr>
        <w:spacing w:after="80"/>
        <w:ind w:left="360" w:hanging="360"/>
        <w:jc w:val="both"/>
      </w:pPr>
      <w:r>
        <w:rPr>
          <w:sz w:val="20"/>
          <w:szCs w:val="20"/>
        </w:rPr>
        <w:t xml:space="preserve">Landis, J. R., y Koch, G. G. (1977). The Measurement of Observer Agreement for Categorical Data. Biometrics, 33(1), 159–174.</w:t>
      </w:r>
    </w:p>
    <w:p>
      <w:pPr>
        <w:spacing w:after="80"/>
        <w:ind w:left="360" w:hanging="360"/>
        <w:jc w:val="both"/>
      </w:pPr>
      <w:r>
        <w:rPr>
          <w:sz w:val="20"/>
          <w:szCs w:val="20"/>
        </w:rPr>
        <w:t xml:space="preserve">Páez, A. y Matida, J. (2022). La injusticia epistémica en el proceso penal. Estudios de Filosofía, 65.</w:t>
      </w:r>
    </w:p>
    <w:p>
      <w:pPr>
        <w:spacing w:after="80"/>
        <w:ind w:left="360" w:hanging="360"/>
        <w:jc w:val="both"/>
      </w:pPr>
      <w:r>
        <w:rPr>
          <w:sz w:val="20"/>
          <w:szCs w:val="20"/>
        </w:rPr>
        <w:t xml:space="preserve">Reisenzein, R., Studtmann, M., y Horstmann, G. (2013). Coherence between Emotion and Facial Expression. Emotion Review, 5(1), 16–23.</w:t>
      </w:r>
    </w:p>
    <w:p>
      <w:pPr>
        <w:spacing w:after="80"/>
        <w:ind w:left="360" w:hanging="360"/>
        <w:jc w:val="both"/>
      </w:pPr>
      <w:r>
        <w:rPr>
          <w:sz w:val="20"/>
          <w:szCs w:val="20"/>
        </w:rPr>
        <w:t xml:space="preserve">Rojas-Andrade, G., Bohórquez, S., y Mantilla, A. (2025). False Positives in Colombia: State Violence, Ignorance and the Epistemic Struggles of Victims. ERLACS.</w:t>
      </w:r>
    </w:p>
    <w:p>
      <w:pPr>
        <w:spacing w:after="80"/>
        <w:ind w:left="360" w:hanging="360"/>
        <w:jc w:val="both"/>
      </w:pPr>
      <w:r>
        <w:rPr>
          <w:sz w:val="20"/>
          <w:szCs w:val="20"/>
        </w:rPr>
        <w:t xml:space="preserve">Sen, S., Singh, G., y Varshney, P. (2024). Deception detection using machine learning. Expert Systems with Applications, 213, 119048.</w:t>
      </w:r>
    </w:p>
    <w:p>
      <w:pPr>
        <w:spacing w:after="80"/>
        <w:ind w:left="360" w:hanging="360"/>
        <w:jc w:val="both"/>
      </w:pPr>
      <w:r>
        <w:rPr>
          <w:sz w:val="20"/>
          <w:szCs w:val="20"/>
        </w:rPr>
        <w:t xml:space="preserve">Wolf, A. (2022). Presumed guilty until proven credible. Estudios de Filosofía, 66.</w:t>
      </w:r>
    </w:p>
    <w:p>
      <w:pPr>
        <w:spacing w:after="80"/>
        <w:ind w:left="360" w:hanging="360"/>
        <w:jc w:val="both"/>
      </w:pPr>
      <w:r>
        <w:rPr>
          <w:sz w:val="20"/>
          <w:szCs w:val="20"/>
        </w:rPr>
        <w:t xml:space="preserve">Zehr, H. (2002). The Little Book of Restorative Justice. Good 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2026-07-06T01:56:31.043Z</dcterms:created>
  <dcterms:modified xsi:type="dcterms:W3CDTF">2026-07-06T01:56:31.043Z</dcterms:modified>
</cp:coreProperties>
</file>

<file path=docProps/custom.xml><?xml version="1.0" encoding="utf-8"?>
<Properties xmlns="http://schemas.openxmlformats.org/officeDocument/2006/custom-properties" xmlns:vt="http://schemas.openxmlformats.org/officeDocument/2006/docPropsVTypes"/>
</file>