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El Corpus B está compuesto por providencias escritas de la Sala de Reconocimiento de Verdad (SRVR) de la JEP en el Macrocaso 003, incluyendo autos de determinación de hechos y conductas, resoluciones de conclusiones y sentencias del Tribunal para la Paz. El corpus fortalecido cuenta con 14 documentos únicos, de los que se extraen 80 secciones temáticas válidas (RECONOCIMIENTO, HECHOS_Y_CONDUCTAS, CALIFICACIÓN_JURÍDICA, PATRONES_MACROCRIMINALES, SANCIONES_PROPIAS, CONSIDERACIONES, RESUELVE y CUERPO), que constituyen la unidad de análisis del Corpus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La validación de la taxonomía se realiza mediante anotación doble-ciega sobre 100 fragmentos (50 Corpus A, 50 Corpus B) en Label Studio, en dos rondas. La primera ronda fue completada por la autora; la segunda por un anotador independiente. El acuerdo inter-anotador se evalúa con el coeficiente κ de Cohen bajo la escala de Landis y Koch (1977). Tras una calibración de la definición operativa del constructo REP entre las dos rondas, el acuerdo global alcanzó un valor sustancial (κ macro = 0.722), con valores por categoría de κ = 0.722 (EBI), 0.617 (SA), 0.709 (NV) y 0.841 (REP tras reconciliación). Este nivel de acuerdo sustancial respalda la fiabilidad de la taxonomía para los fines del análisis.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y₃ Distancia léxico civil — indicador explorado en fases preliminares (distancia coseno entre el vector léxico de la sección y un léxico de referencia civil construido con testimonios MAFAPO). Fue descartado del pipeline definitivo por presentar varianza insuficiente y no ser calculable sobre el Corpus C oral; su función predictiva es asumida por la distancia semántica al centroide MAFAPO (y₈).</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y₇ Surprisal contrastivo — diferencia de pseudo-log-verosimilitud por token entre dos modelos de lenguaje enmascarado: y₇ = PLL_BETO − PLL_ConfliBERT. Mide cuán característico del registro bélico-institucional del conflicto es el texto: un valor más negativo indica que el texto es más predecible para ConfliBERT (modelo de conflicto y violencia política) que para BETO (español general), es decir, un registro más militarizado. El indicador es independiente del EBI (que cuenta términos discretos): mientras el EBI mide ocurrencias léxicas puntuales, el surprisal contrastivo mide el registro global del texto mediante contraste de modelos. Se calcula sobre las unidades reales de los tres corpus (A por sección, B por sección, C por compareciente).</w:t>
      </w:r>
    </w:p>
    <w:p>
      <w:pPr>
        <w:pStyle w:val="ListParagraph"/>
        <w:numPr>
          <w:ilvl w:val="0"/>
          <w:numId w:val="2"/>
        </w:numPr>
        <w:spacing w:after="120"/>
        <w:jc w:val="both"/>
      </w:pPr>
      <w:r>
        <w:rPr>
          <w:rFonts w:ascii="Times New Roman" w:cs="Times New Roman" w:eastAsia="Times New Roman" w:hAnsi="Times New Roman"/>
          <w:sz w:val="22"/>
          <w:szCs w:val="22"/>
        </w:rPr>
        <w:t>y₈ Distancia MAFAPO — distancia coseno entre el embedding del segmento y el centroide MAFAPO v5 (293 textos). Implementado: A=0.211, B=0.155, C=0.129 (p&lt;0.001, d=1.39).</w:t>
      </w:r>
    </w:p>
    <w:p>
      <w:pPr>
        <w:pStyle w:val="ListParagraph"/>
        <w:numPr>
          <w:ilvl w:val="0"/>
          <w:numId w:val="2"/>
        </w:numPr>
        <w:spacing w:after="120"/>
        <w:jc w:val="both"/>
      </w:pPr>
      <w:r>
        <w:rPr>
          <w:rFonts w:ascii="Times New Roman" w:cs="Times New Roman" w:eastAsia="Times New Roman" w:hAnsi="Times New Roman"/>
          <w:sz w:val="22"/>
          <w:szCs w:val="22"/>
        </w:rPr>
        <w:t>y₉ Distancia CIDH — distancia coseno entre el embedding y el centroide CIDH v3. Implementado: A=0.254, B=0.217 (p&lt;0.001, d=0.95).</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y₁₁ Densidad de orientación dialógica/testimonial — indicador rediseñado que mide el gesto relacional de dirigirse a las víctimas y reconocerlas como interlocutoras epistémicas válidas (hablarles directamente, reconocer que merecen la verdad, nombrar el daño causado a ellas). Operacionaliza la corrección de la injusticia testimonial de Fricker, distinta del acto reparador en sí (y₁₀). Este rediseño sustituye a la versión previa —similitud coseno a un centroide restaurativo— que presentaba multicolinealidad severa con y₈ e y₉ (r=0.952 y 0.972); la nueva formulación por densidad es ortogonal a las distancias semánticas.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(Lugaresi et al., 2019). </w:t>
      </w:r>
      <w:r>
        <w:rPr>
          <w:rFonts w:ascii="Times New Roman" w:cs="Times New Roman" w:eastAsia="Times New Roman" w:hAnsi="Times New Roman"/>
          <w:color w:val="000000"/>
          <w:sz w:val="24"/>
          <w:szCs w:val="24"/>
        </w:rPr>
        <w:t xml:space="preserve">El canal facial se extrae de manera homogénea en los cinco subcasos del Corpus C mediante MediaPipe FaceLandmarker (Lugaresi et al., 2019), que produce blendshapes faciales en escala 0–1 por frame en modo IMAGE. La homogeneidad del extractor en todo el corpus es condición necesaria para la comparabilidad del canal facial entre comparecientes y subcasos. Por segmento atribuido al compareciente se muestrean los frames válidos y se agrega cada blendshape mediante su media.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blendshapes relevantes para el ICM se mapean a Action Units del sistema FACS: AU1=browInnerUp (ceja interna elevada), AU4=(browDownLeft+browDownRight)/2 (ceño), AU6=(cheekSquintLeft+cheekSquintRight)/2 (elevador de mejilla), AU12=(mouthSmileLeft+mouthSmileRight)/2 (comisura labial), AU15=(mouthFrownLeft+mouthFrownRight)/2 (comisuras hacia abajo) y AU17=mouthPucker (mentón). El componente de distress se opera con las cuatro Action Units de la expresión prototípica de tristeza (Ekman, Friesen y Hager, 2002): AU1, AU4, AU15 y AU17. El blendshape mapeado a AU6 presenta valores próximos a cero en todo el corpus, por lo que no integra el componente de distress y se reporta como nota metodológica sobre la disponibilidad diferencial de los descriptores. La tasa de detección facial varía por audiencia según el ángulo y la distancia de la cámara, lo que se reporta explícitamente y se incorpora a la marcación de robustez de cada compareciente.</w:t>
      </w:r>
    </w:p>
    <w:p>
      <w:pPr>
        <w:spacing w:after="200" w:line="360" w:lineRule="auto"/>
        <w:ind w:firstLine="720"/>
        <w:jc w:val="both"/>
      </w:pPr>
      <w:r>
        <w:rPr>
          <w:sz w:val="24"/>
          <w:szCs w:val="24"/>
        </w:rPr>
        <w:t xml:space="preserve">Una limitación metodológica relevante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menor congruencia multimodal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mayor congruencia multimodal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(Lugaresi et al., 2019) homogéneo en los cinco subcasos. El canal facial se normaliza mediante z-score sobre la distribución del corpus (naturaleza comparativa de los Action Units). Mayor valor = mayor distress facial relativo.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canal vocal se extrae con OpenSMILE eGeMAPS (Eyben et al., 2016), que produce 88 descriptores acústicos por ventana. De ese conjunto, el ICM vocal se opera con tres descriptores de fundamento prosódico directo en el distress: el shimmer (irregularidad de amplitud, asociada al quiebre de voz), la variabilidad normalizada de F0 (modulación tonal) y el HNR invertido (calidad vocal asociada a carga emocional). Se excluye el jitter por la inconsistencia documentada de su interpretación. El canal vocal se normaliza mediante una escala fija anclada en valores de referencia de la literatura —piso fisiológico y techo documentado—, de modo que produce valores absolutos comparables e independientes de la composición de la muestra. Las ventanas de silencio y pausa del compareciente se conservan en el análisis: en el contexto de las audiencias de reconocimiento, la pausa y el silencio no son ausencia de señal sino parte constitutiva del acto de reconocimiento (Zehr, 2002; Baird y Coutinho, 2019). La extracción está completa para los cinco subcasos.</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—facial (Action Units MediaPipe), vocal (descriptores eGeMAPS) y verbal (REP, y₁₀)— en un índice de congruencia comunicativa calculado a nivel individual del compareciente. Cada canal se normaliza según su propia naturaleza de medición: el facial mediante z-score comparativo sobre la distribución del corpus (con media y desviación estándar congeladas como constantes de calibración), el vocal mediante escala fija de literatura, y el verbal como proporción del discurso reparador. El componente de distress facial promedia las cuatro Action Units de tristeza prototípica (AU1, AU4, AU15, AU17). El índice tri-canal se compone con pesos 0.40 facial / 0.40 vocal / 0.20 verbal, renormalizados cuando un canal carece de cobertura suficiente; cada compareciente recibe además una marca de robustez (sólido / mínimo) según la suficiencia de evidencia por canal.</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Camara et al. (2024), los modelos entrenados en contextos low-stakes no transfieren a high-stakes; por ello la CFH calibra el ICM desde el propio corpus del Macrocaso 003.</w:t>
      </w:r>
    </w:p>
    <w:p>
      <w:pPr>
        <w:spacing w:before="240" w:after="120" w:line="360" w:lineRule="auto"/>
        <w:jc w:val="both"/>
      </w:pPr>
      <w:r>
        <w:rPr>
          <w:rFonts w:ascii="Times New Roman" w:cs="Times New Roman" w:eastAsia="Times New Roman" w:hAnsi="Times New Roman"/>
          <w:b/>
          <w:sz w:val="24"/>
          <w:szCs w:val="24"/>
        </w:rPr>
        <w:t xml:space="preserve">4.5.4.4 Validación de robustez de los pesos del ICM.</w:t>
      </w:r>
    </w:p>
    <w:p>
      <w:pPr>
        <w:spacing w:after="200" w:line="360" w:lineRule="auto"/>
        <w:ind w:firstLine="720"/>
        <w:jc w:val="both"/>
      </w:pPr>
      <w:r>
        <w:rPr>
          <w:rFonts w:ascii="Times New Roman" w:cs="Times New Roman" w:eastAsia="Times New Roman" w:hAnsi="Times New Roman"/>
          <w:sz w:val="24"/>
          <w:szCs w:val="24"/>
        </w:rPr>
        <w:t xml:space="preserve">Dado que la composición tri-canal del ICM emplea pesos fijos (0.40 facial / 0.40 vocal / 0.20 verbal), la estabilidad del ordenamiento de comparecientes ante esa elección se evalúa mediante simulación Monte Carlo, siguiendo el mismo procedimiento de sensibilidad de pesos aplicado al DIS Score. Para cada simulación se generan pesos alternativos y se calcula el coeficiente de concordancia de rangos Kendall τ entre el ranking resultante y el ranking de referencia, con un umbral de robustez de τ≥0.80. El análisis se realiza en dos modos complementarios. El modo restringido perturba localmente los pesos (±0.10 alrededor de la referencia), representando variaciones metodológicamente plausibles. El modo completo explora todo el espacio de pesos (simplex), incluyendo configuraciones extremas, para revelar la importancia relativa de cada canal.</w:t>
      </w:r>
    </w:p>
    <w:p>
      <w:pPr>
        <w:spacing w:after="200" w:line="360" w:lineRule="auto"/>
        <w:ind w:firstLine="720"/>
        <w:jc w:val="both"/>
      </w:pPr>
      <w:r>
        <w:rPr>
          <w:rFonts w:ascii="Times New Roman" w:cs="Times New Roman" w:eastAsia="Times New Roman" w:hAnsi="Times New Roman"/>
          <w:sz w:val="24"/>
          <w:szCs w:val="24"/>
        </w:rPr>
        <w:t xml:space="preserve">Esta doble caracterización ofrece una lectura completa de la robustez: el modo restringido cuantifica la estabilidad del índice ante decisiones razonables sobre los pesos, mientras que el modo completo identifica qué canal aporta la mayor parte de la información ordenadora. Los resultados se presentan en el Capítulo 5 (§5.16).</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Camara, M. K., Postal, A., Maul, T. H., y Paetzold, G. H. (2024). Can lies be faked? Comparing low-stakes and high-stakes deception video datasets from a Machine Learning perspective. Expert Systems with Applications, 249, 123684. https://doi.org/10.1016/j.eswa.2024.123684</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produciría una normalización min-max sobre muestras pequeñas, garantizando una escala única y estable para los tres corpus.</w:t>
      </w:r>
    </w:p>
    <w:p>
      <w:pPr>
        <w:spacing w:after="160" w:line="360" w:lineRule="auto"/>
        <w:jc w:val="both"/>
      </w:pPr>
      <w:r>
        <w:rPr>
          <w:rFonts w:ascii="Times New Roman" w:cs="Times New Roman" w:eastAsia="Times New Roman" w:hAnsi="Times New Roman"/>
          <w:sz w:val="22"/>
          <w:szCs w:val="22"/>
        </w:rPr>
        <w:t>El desarrollo matemático completo de cada modelo e índice —arquitectura del clasificador CFH-BERT v2 y su pérdida ponderada, construcción de los centroides semánticos y la distancia coseno, formalización del Score de Supresión de Agentividad, extracción de descriptores eGeMAPS y Action Units, y las ecuaciones de composición y normalización del DIS, el IEI y el ICM— se presenta en el Apéndice A. Allí se documentan además la verificación de robustez del DIS bajo tres esquemas de normalización (Apéndice A.6.2), los tamaños de efecto sobre el universo canónico (N_B=80) y el protocolo experimental de CFH-BERT v3.</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00"/>
        <w:gridCol w:w="1400"/>
        <w:gridCol w:w="1500"/>
        <w:gridCol w:w="1500"/>
        <w:gridCol w:w="900"/>
        <w:gridCol w:w="1560"/>
        <w:gridCol w:w="1400"/>
      </w:tblGrid>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y₇ Surprisal</w:t>
            </w:r>
          </w:p>
        </w:tc>
        <w:tc>
          <w:tcPr>
            <w:shd w:val="clear" w:color="auto" w:fill="FFFFFF"/>
          </w:tcPr>
          <w:p>
            <w:pPr>
              <w:spacing w:before="40" w:after="40"/>
            </w:pPr>
            <w:r>
              <w:rPr>
                <w:sz w:val="15"/>
              </w:rPr>
              <w:t>Surprisal contrastivo</w:t>
            </w:r>
          </w:p>
        </w:tc>
        <w:tc>
          <w:tcPr>
            <w:shd w:val="clear" w:color="auto" w:fill="FFFFFF"/>
          </w:tcPr>
          <w:p>
            <w:pPr>
              <w:spacing w:before="40" w:after="40"/>
            </w:pPr>
            <w:r>
              <w:rPr>
                <w:sz w:val="15"/>
              </w:rPr>
              <w:t>LM encoder BETO + ConfliBERT</w:t>
            </w:r>
          </w:p>
        </w:tc>
        <w:tc>
          <w:tcPr>
            <w:shd w:val="clear" w:color="auto" w:fill="FFFFFF"/>
          </w:tcPr>
          <w:p>
            <w:pPr>
              <w:spacing w:before="40" w:after="40"/>
            </w:pPr>
            <w:r>
              <w:rPr>
                <w:sz w:val="15"/>
              </w:rPr>
              <w:t>PLL_BETO − PLL_ConfliBERT</w:t>
            </w:r>
          </w:p>
        </w:tc>
        <w:tc>
          <w:tcPr>
            <w:shd w:val="clear" w:color="auto" w:fill="FFFFFF"/>
          </w:tcPr>
          <w:p>
            <w:pPr>
              <w:spacing w:before="40" w:after="40"/>
            </w:pPr>
            <w:r>
              <w:rPr>
                <w:sz w:val="15"/>
              </w:rPr>
              <w:t>A+B+C</w:t>
            </w:r>
          </w:p>
        </w:tc>
        <w:tc>
          <w:tcPr>
            <w:shd w:val="clear" w:color="auto" w:fill="FFFFFF"/>
          </w:tcPr>
          <w:p>
            <w:pPr>
              <w:spacing w:before="40" w:after="40"/>
            </w:pPr>
            <w:r>
              <w:rPr>
                <w:sz w:val="15"/>
              </w:rPr>
              <w:t>z-score A+B+C→sig</w:t>
            </w:r>
          </w:p>
        </w:tc>
        <w:tc>
          <w:tcPr>
            <w:shd w:val="clear" w:color="auto" w:fill="FFFFFF"/>
          </w:tcPr>
          <w:p>
            <w:pPr>
              <w:spacing w:before="40" w:after="40"/>
            </w:pPr>
            <w:r>
              <w:rPr>
                <w:sz w:val="15"/>
              </w:rPr>
              <w:t>Registro bélico global. Descriptivo (no en índices)</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 alto ***. Centroide MAFAPO v5 (293 textos).</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Único indicador que separa A vs B.</w:t>
            </w:r>
          </w:p>
        </w:tc>
      </w:tr>
      <w:tr>
        <w:tc>
          <w:tcPr>
            <w:shd w:val="clear" w:color="auto" w:fill="EBF3FB"/>
          </w:tcPr>
          <w:p>
            <w:pPr>
              <w:spacing w:before="40" w:after="40"/>
            </w:pPr>
            <w:r>
              <w:rPr>
                <w:sz w:val="15"/>
              </w:rPr>
              <w:t>DIS</w:t>
            </w:r>
          </w:p>
        </w:tc>
        <w:tc>
          <w:tcPr>
            <w:shd w:val="clear" w:color="auto" w:fill="EBF3FB"/>
          </w:tcPr>
          <w:p>
            <w:pPr>
              <w:spacing w:before="40" w:after="40"/>
            </w:pPr>
            <w:r>
              <w:rPr>
                <w:sz w:val="15"/>
              </w:rPr>
              <w:t>Inj. Discursiva</w:t>
            </w:r>
          </w:p>
        </w:tc>
        <w:tc>
          <w:tcPr>
            <w:shd w:val="clear" w:color="auto" w:fill="EBF3FB"/>
          </w:tcPr>
          <w:p>
            <w:pPr>
              <w:spacing w:before="40" w:after="40"/>
            </w:pPr>
            <w:r>
              <w:rPr>
                <w:sz w:val="15"/>
              </w:rPr>
              <w:t>Índice compuesto</w:t>
            </w:r>
          </w:p>
        </w:tc>
        <w:tc>
          <w:tcPr>
            <w:shd w:val="clear" w:color="auto" w:fill="EBF3FB"/>
          </w:tcPr>
          <w:p>
            <w:pPr>
              <w:spacing w:before="40" w:after="40"/>
            </w:pPr>
            <w:r>
              <w:rPr>
                <w:sz w:val="15"/>
              </w:rPr>
              <w:t>Agregación ponderada</w:t>
            </w:r>
          </w:p>
        </w:tc>
        <w:tc>
          <w:tcPr>
            <w:shd w:val="clear" w:color="auto" w:fill="EBF3FB"/>
          </w:tcPr>
          <w:p>
            <w:pPr>
              <w:spacing w:before="40" w:after="40"/>
            </w:pPr>
            <w:r>
              <w:rPr>
                <w:sz w:val="15"/>
              </w:rPr>
              <w:t>A+B+C</w:t>
            </w:r>
          </w:p>
        </w:tc>
        <w:tc>
          <w:tcPr>
            <w:shd w:val="clear" w:color="auto" w:fill="EBF3FB"/>
          </w:tcPr>
          <w:p>
            <w:pPr>
              <w:spacing w:before="40" w:after="40"/>
            </w:pPr>
            <w:r>
              <w:rPr>
                <w:sz w:val="15"/>
              </w:rPr>
              <w:t>z-score A+B+C→sig</w:t>
            </w:r>
          </w:p>
        </w:tc>
        <w:tc>
          <w:tcPr>
            <w:shd w:val="clear" w:color="auto" w:fill="EBF3FB"/>
          </w:tcPr>
          <w:p>
            <w:pPr>
              <w:spacing w:before="40" w:after="40"/>
            </w:pPr>
            <w:r>
              <w:rPr>
                <w:sz w:val="15"/>
              </w:rPr>
              <w:t>0.40·EBI+0.30·SA+0.30·(1−REP). Pesos teóricos Galtung/Habermas/Fraser</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Separa A vs B: p&lt;0.001 ***. Operacionaliza Fricker.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Nota. IO = Inside-Outside (sequence labeling). VSM = Vector Space Model. LM = Language Model. sig = sigmoid. z-score+sigmoid elimina valores extremos 0/1. El DIS se calcula con normalización z-score+sigmoid sobre la distribución conjunta; no separa A de B (dilución por agregación), a diferencia del IEI. Normalización A+B+C = distribución conjunta de 1,420 bloques. Nivel Corpus C = distribución oral conjunta (vocal 1,351 seg; facial 2,822 frames; verbal 547 bloques). El protocolo IAA de dos rondas alcanzó un acuerdo global sustancial (κ=0.722).</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El análisis estadístico se organiza en dos niveles. En el nivel descriptivo-comparativo, los indicadores se contrastan entre corpus mediante la prueba de Mann-Whitney U bilateral —una prueba no paramétrica que no asume normalidad en la distribución de los indicadores y es robusta ante muestras pequeñas y desbalanceadas, condiciones propias de los corpus de justicia transicional—, complementada con el tamaño de efecto de Cohen (d) para reportar la magnitud práctica de las diferencias más allá de su significancia y se sintetizan en los índices DIS = 0.40·EBI + 0.30·SA + 0.30·(1−REP) e IEI = 0.40·MAFAPO + 0.30·CIDH + 0.30·NV, con normalización z-score seguida de sigmoide sobre la distribución conjunta A+B+C. En el nivel estructural exploratorio, dado el tamaño del Corpus C (n=47), se estiman modelos de senderos e integraciones SEM de carácter exploratorio; el hallazgo estructural más robusto es la relación entre la distancia semántica al lenguaje de las víctimas y la ruptura epistémica positiva (y₈→y₁₀), consistente en dos universos independientes (β=−0.679 en Corpus C, β=−0.597 en el análisis tri-corpus, ambos con signo negativo). Para los modelos con variables latentes se reporta su naturaleza exploratoria por la limitación muestral.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Nota de estado (julio 2026): eGeMAPS OpenSMILE canal vocal completado (5 subcasos). ICM tri-canal ponderado calculado e integrado (§5.11). Canal facial de Costa Caribe reextraído de forma homogénea con MediaPipe, completando el Corpus C en los cinco subcasos. IAA de dos rondas completado (κ global sustancial = 0.722). Surprisal contrastivo (y₇) calculado sobre las unidades reales y reportado como análisis descriptivo. El SEM con variables latentes se mantiene en el plano exploratorio por el tamaño del Corpus C (n=47).</w:t>
            </w:r>
            <w:r>
              <w:rPr>
                <w:rFonts w:ascii="Times New Roman" w:cs="Times New Roman" w:eastAsia="Times New Roman" w:hAnsi="Times New Roman"/>
                <w:i/>
                <w:iCs/>
                <w:color w:val="92400E"/>
                <w:sz w:val="22"/>
                <w:szCs w:val="22"/>
              </w:rPr>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siguiendo el procedimiento de Baird y Coutinho (2019), mediante la correlación entre el ICM calculado y la percepción humana de congruencia comunicativa —la coherencia entre lo que el compareciente dice y cómo lo expresa vocal y facialmente— sobre una muestra de segmentos del Corpus C. Coherentemente con las salvaguardas epistemológicas del ICM, esta validación contrasta la congruencia entre canales, no la sinceridad psicológica individual del compareciente.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El framework CFH está diseñado para ser replicable. El repositorio público en GitHub contiene el código completo (pyproject.toml, requirements.txt, datos de muestra), los centroides MAFAPO v5 y CIDH v3, el protocolo de anotación, y la documentación de cada módulo del pipeline. La replicabilidad se evalúa mediante la capacidad de un investigador externo de reproducir los resultados principales siguiendo la documentación del repositorio, apoyada en el paquete reproducible auditado que acompaña a la tesis.</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Lugaresi, C., Tang, J., Nash, H., McClanahan, C., Uboweja, E., Hays, M., Zhang, F., Chang, C.-L., Yong, M. G., Lee, J., Chang, W.-T., Hua, W., Georg, M., y Grundmann, M. (2019). MediaPipe: A Framework for Building Perception Pipelines. arXiv:1906.08172. https://doi.org/10.48550/arXiv.1906.08172</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line="360" w:lineRule="auto"/>
        <w:jc w:val="both"/>
      </w:pPr>
      <w:r>
        <w:rPr>
          <w:rFonts w:ascii="Times New Roman" w:cs="Times New Roman" w:eastAsia="Times New Roman" w:hAnsi="Times New Roman"/>
          <w:i/>
          <w:sz w:val="24"/>
          <w:szCs w:val="24"/>
        </w:rPr>
        <w:t xml:space="preserve">Ekman, P., Friesen, W. V., y Hager, J. C. (2002). Facial Action Coding System (FACS): The Manual on CD-ROM. Salt Lake City: Research Nexus / A Human Face.</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2026-04-15T00:35:08.378Z</dcterms:created>
  <dcterms:modified xsi:type="dcterms:W3CDTF">2026-04-15T00:35:08.379Z</dcterms:modified>
</cp:coreProperties>
</file>

<file path=docProps/custom.xml><?xml version="1.0" encoding="utf-8"?>
<Properties xmlns="http://schemas.openxmlformats.org/officeDocument/2006/custom-properties" xmlns:vt="http://schemas.openxmlformats.org/officeDocument/2006/docPropsVTypes"/>
</file>