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b/>
          <w:bCs/>
          <w:color w:val="1F3864"/>
          <w:sz w:val="32"/>
          <w:szCs w:val="32"/>
        </w:rPr>
        <w:t xml:space="preserve">5. Resultados</w:t>
      </w:r>
    </w:p>
    <w:p>
      <w:pPr>
        <w:spacing w:after="120" w:line="276"/>
        <w:jc w:val="both"/>
      </w:pPr>
      <w:r>
        <w:rPr>
          <w:sz w:val="22"/>
          <w:szCs w:val="22"/>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análisis facial, vocal y verbal del Corpus C). Las secciones finales integran los índices sintéticos DIS e IEI sobre los tres corpus, la fiabilidad inter-anotador y el análisis estructural exploratorio. Todos los valores reportados corresponden al pipeline depurado y auditado: el Corpus B fue fortalecido a 80 secciones reales y los indicadores fueron recalculados con las versiones definitivas (y₁ mediante gazetteer, y₁₀ en su versión v5).</w:t>
      </w:r>
    </w:p>
    <w:p>
      <w:pPr>
        <w:pStyle w:val="Heading2"/>
        <w:spacing w:after="100" w:before="200"/>
      </w:pPr>
      <w:r>
        <w:rPr>
          <w:b/>
          <w:bCs/>
          <w:color w:val="1F3864"/>
          <w:sz w:val="26"/>
          <w:szCs w:val="26"/>
        </w:rPr>
        <w:t xml:space="preserve">5.1 Descripción del corpus procesado</w:t>
      </w:r>
    </w:p>
    <w:p>
      <w:pPr>
        <w:spacing w:after="60" w:before="60"/>
      </w:pPr>
      <w:r>
        <w:rPr>
          <w:i/>
          <w:iCs/>
          <w:color w:val="595959"/>
          <w:sz w:val="19"/>
          <w:szCs w:val="19"/>
        </w:rPr>
        <w:t xml:space="preserve">Tabla 5.1. Corpus CFH — descripción por subsistema.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400"/>
        <w:gridCol w:w="1800"/>
        <w:gridCol w:w="3760"/>
      </w:tblGrid>
      <w:tr>
        <w:trPr>
          <w:tblHeader/>
        </w:trPr>
        <w:tc>
          <w:tcPr>
            <w:tcW w:type="dxa" w:w="1400"/>
            <w:shd w:fill="1F3864" w:val="clear"/>
          </w:tcPr>
          <w:p>
            <w:pPr>
              <w:jc w:val="center"/>
            </w:pPr>
            <w:r>
              <w:rPr>
                <w:b/>
                <w:bCs/>
                <w:color w:val="FFFFFF"/>
                <w:sz w:val="19"/>
                <w:szCs w:val="19"/>
              </w:rPr>
              <w:t xml:space="preserve">Corpus</w:t>
            </w:r>
          </w:p>
        </w:tc>
        <w:tc>
          <w:tcPr>
            <w:tcW w:type="dxa" w:w="1000"/>
            <w:shd w:fill="1F3864" w:val="clear"/>
          </w:tcPr>
          <w:p>
            <w:pPr>
              <w:jc w:val="center"/>
            </w:pPr>
            <w:r>
              <w:rPr>
                <w:b/>
                <w:bCs/>
                <w:color w:val="FFFFFF"/>
                <w:sz w:val="19"/>
                <w:szCs w:val="19"/>
              </w:rPr>
              <w:t xml:space="preserve">Docs</w:t>
            </w:r>
          </w:p>
        </w:tc>
        <w:tc>
          <w:tcPr>
            <w:tcW w:type="dxa" w:w="1400"/>
            <w:shd w:fill="1F3864" w:val="clear"/>
          </w:tcPr>
          <w:p>
            <w:pPr>
              <w:jc w:val="center"/>
            </w:pPr>
            <w:r>
              <w:rPr>
                <w:b/>
                <w:bCs/>
                <w:color w:val="FFFFFF"/>
                <w:sz w:val="19"/>
                <w:szCs w:val="19"/>
              </w:rPr>
              <w:t xml:space="preserve">Bloques</w:t>
            </w:r>
          </w:p>
        </w:tc>
        <w:tc>
          <w:tcPr>
            <w:tcW w:type="dxa" w:w="1800"/>
            <w:shd w:fill="1F3864" w:val="clear"/>
          </w:tcPr>
          <w:p>
            <w:pPr>
              <w:jc w:val="center"/>
            </w:pPr>
            <w:r>
              <w:rPr>
                <w:b/>
                <w:bCs/>
                <w:color w:val="FFFFFF"/>
                <w:sz w:val="19"/>
                <w:szCs w:val="19"/>
              </w:rPr>
              <w:t xml:space="preserve">Período</w:t>
            </w:r>
          </w:p>
        </w:tc>
        <w:tc>
          <w:tcPr>
            <w:tcW w:type="dxa" w:w="3760"/>
            <w:shd w:fill="1F3864" w:val="clear"/>
          </w:tcPr>
          <w:p>
            <w:pPr>
              <w:jc w:val="center"/>
            </w:pPr>
            <w:r>
              <w:rPr>
                <w:b/>
                <w:bCs/>
                <w:color w:val="FFFFFF"/>
                <w:sz w:val="19"/>
                <w:szCs w:val="19"/>
              </w:rPr>
              <w:t xml:space="preserve">Fuente</w:t>
            </w:r>
          </w:p>
        </w:tc>
      </w:tr>
      <w:tr>
        <w:tc>
          <w:tcPr>
            <w:tcW w:type="dxa" w:w="1400"/>
            <w:shd w:fill="FFFFFF" w:val="clear"/>
          </w:tcPr>
          <w:p>
            <w:pPr>
              <w:jc w:val="left"/>
            </w:pPr>
            <w:r>
              <w:rPr>
                <w:b/>
                <w:bCs/>
                <w:sz w:val="19"/>
                <w:szCs w:val="19"/>
              </w:rPr>
              <w:t xml:space="preserve">A-CE</w:t>
            </w:r>
          </w:p>
        </w:tc>
        <w:tc>
          <w:tcPr>
            <w:tcW w:type="dxa" w:w="1000"/>
            <w:shd w:fill="FFFFFF" w:val="clear"/>
          </w:tcPr>
          <w:p>
            <w:pPr>
              <w:jc w:val="center"/>
            </w:pPr>
            <w:r>
              <w:rPr>
                <w:b w:val="false"/>
                <w:bCs w:val="false"/>
                <w:sz w:val="19"/>
                <w:szCs w:val="19"/>
              </w:rPr>
              <w:t xml:space="preserve">~200</w:t>
            </w:r>
          </w:p>
        </w:tc>
        <w:tc>
          <w:tcPr>
            <w:tcW w:type="dxa" w:w="1400"/>
            <w:shd w:fill="FFFFFF" w:val="clear"/>
          </w:tcPr>
          <w:p>
            <w:pPr>
              <w:jc w:val="center"/>
            </w:pPr>
            <w:r>
              <w:rPr>
                <w:b w:val="false"/>
                <w:bCs w:val="false"/>
                <w:sz w:val="19"/>
                <w:szCs w:val="19"/>
              </w:rPr>
              <w:t xml:space="preserve">520</w:t>
            </w:r>
          </w:p>
        </w:tc>
        <w:tc>
          <w:tcPr>
            <w:tcW w:type="dxa" w:w="1800"/>
            <w:shd w:fill="FFFFFF" w:val="clear"/>
          </w:tcPr>
          <w:p>
            <w:pPr>
              <w:jc w:val="center"/>
            </w:pPr>
            <w:r>
              <w:rPr>
                <w:b w:val="false"/>
                <w:bCs w:val="false"/>
                <w:sz w:val="19"/>
                <w:szCs w:val="19"/>
              </w:rPr>
              <w:t xml:space="preserve">1994–2021</w:t>
            </w:r>
          </w:p>
        </w:tc>
        <w:tc>
          <w:tcPr>
            <w:tcW w:type="dxa" w:w="3760"/>
            <w:shd w:fill="FFFFFF" w:val="clear"/>
          </w:tcPr>
          <w:p>
            <w:pPr>
              <w:jc w:val="center"/>
            </w:pPr>
            <w:r>
              <w:rPr>
                <w:b w:val="false"/>
                <w:bCs w:val="false"/>
                <w:sz w:val="19"/>
                <w:szCs w:val="19"/>
              </w:rPr>
              <w:t xml:space="preserve">Consejo de Estado — reparación directa</w:t>
            </w:r>
          </w:p>
        </w:tc>
      </w:tr>
      <w:tr>
        <w:tc>
          <w:tcPr>
            <w:tcW w:type="dxa" w:w="1400"/>
            <w:shd w:fill="F2F2F2" w:val="clear"/>
          </w:tcPr>
          <w:p>
            <w:pPr>
              <w:jc w:val="left"/>
            </w:pPr>
            <w:r>
              <w:rPr>
                <w:b/>
                <w:bCs/>
                <w:sz w:val="19"/>
                <w:szCs w:val="19"/>
              </w:rPr>
              <w:t xml:space="preserve">A-CSJ</w:t>
            </w:r>
          </w:p>
        </w:tc>
        <w:tc>
          <w:tcPr>
            <w:tcW w:type="dxa" w:w="1000"/>
            <w:shd w:fill="F2F2F2" w:val="clear"/>
          </w:tcPr>
          <w:p>
            <w:pPr>
              <w:jc w:val="center"/>
            </w:pPr>
            <w:r>
              <w:rPr>
                <w:b w:val="false"/>
                <w:bCs w:val="false"/>
                <w:sz w:val="19"/>
                <w:szCs w:val="19"/>
              </w:rPr>
              <w:t xml:space="preserve">~86</w:t>
            </w:r>
          </w:p>
        </w:tc>
        <w:tc>
          <w:tcPr>
            <w:tcW w:type="dxa" w:w="1400"/>
            <w:shd w:fill="F2F2F2" w:val="clear"/>
          </w:tcPr>
          <w:p>
            <w:pPr>
              <w:jc w:val="center"/>
            </w:pPr>
            <w:r>
              <w:rPr>
                <w:b w:val="false"/>
                <w:bCs w:val="false"/>
                <w:sz w:val="19"/>
                <w:szCs w:val="19"/>
              </w:rPr>
              <w:t xml:space="preserve">299</w:t>
            </w:r>
          </w:p>
        </w:tc>
        <w:tc>
          <w:tcPr>
            <w:tcW w:type="dxa" w:w="1800"/>
            <w:shd w:fill="F2F2F2" w:val="clear"/>
          </w:tcPr>
          <w:p>
            <w:pPr>
              <w:jc w:val="center"/>
            </w:pPr>
            <w:r>
              <w:rPr>
                <w:b w:val="false"/>
                <w:bCs w:val="false"/>
                <w:sz w:val="19"/>
                <w:szCs w:val="19"/>
              </w:rPr>
              <w:t xml:space="preserve">2012–2020</w:t>
            </w:r>
          </w:p>
        </w:tc>
        <w:tc>
          <w:tcPr>
            <w:tcW w:type="dxa" w:w="3760"/>
            <w:shd w:fill="F2F2F2" w:val="clear"/>
          </w:tcPr>
          <w:p>
            <w:pPr>
              <w:jc w:val="center"/>
            </w:pPr>
            <w:r>
              <w:rPr>
                <w:b w:val="false"/>
                <w:bCs w:val="false"/>
                <w:sz w:val="19"/>
                <w:szCs w:val="19"/>
              </w:rPr>
              <w:t xml:space="preserve">Corte Suprema Sala Penal — casación</w:t>
            </w:r>
          </w:p>
        </w:tc>
      </w:tr>
      <w:tr>
        <w:tc>
          <w:tcPr>
            <w:tcW w:type="dxa" w:w="1400"/>
            <w:shd w:fill="FFFFFF" w:val="clear"/>
          </w:tcPr>
          <w:p>
            <w:pPr>
              <w:jc w:val="left"/>
            </w:pPr>
            <w:r>
              <w:rPr>
                <w:b/>
                <w:bCs/>
                <w:sz w:val="19"/>
                <w:szCs w:val="19"/>
              </w:rPr>
              <w:t xml:space="preserve">B-JEP</w:t>
            </w:r>
          </w:p>
        </w:tc>
        <w:tc>
          <w:tcPr>
            <w:tcW w:type="dxa" w:w="1000"/>
            <w:shd w:fill="FFFFFF" w:val="clear"/>
          </w:tcPr>
          <w:p>
            <w:pPr>
              <w:jc w:val="center"/>
            </w:pPr>
            <w:r>
              <w:rPr>
                <w:b w:val="false"/>
                <w:bCs w:val="false"/>
                <w:sz w:val="19"/>
                <w:szCs w:val="19"/>
              </w:rPr>
              <w:t xml:space="preserve">14</w:t>
            </w:r>
          </w:p>
        </w:tc>
        <w:tc>
          <w:tcPr>
            <w:tcW w:type="dxa" w:w="1400"/>
            <w:shd w:fill="FFFFFF" w:val="clear"/>
          </w:tcPr>
          <w:p>
            <w:pPr>
              <w:jc w:val="center"/>
            </w:pPr>
            <w:r>
              <w:rPr>
                <w:b w:val="false"/>
                <w:bCs w:val="false"/>
                <w:sz w:val="19"/>
                <w:szCs w:val="19"/>
              </w:rPr>
              <w:t xml:space="preserve">80 secc.</w:t>
            </w:r>
          </w:p>
        </w:tc>
        <w:tc>
          <w:tcPr>
            <w:tcW w:type="dxa" w:w="1800"/>
            <w:shd w:fill="FFFFFF" w:val="clear"/>
          </w:tcPr>
          <w:p>
            <w:pPr>
              <w:jc w:val="center"/>
            </w:pPr>
            <w:r>
              <w:rPr>
                <w:b w:val="false"/>
                <w:bCs w:val="false"/>
                <w:sz w:val="19"/>
                <w:szCs w:val="19"/>
              </w:rPr>
              <w:t xml:space="preserve">2021–2024</w:t>
            </w:r>
          </w:p>
        </w:tc>
        <w:tc>
          <w:tcPr>
            <w:tcW w:type="dxa" w:w="3760"/>
            <w:shd w:fill="FFFFFF" w:val="clear"/>
          </w:tcPr>
          <w:p>
            <w:pPr>
              <w:jc w:val="center"/>
            </w:pPr>
            <w:r>
              <w:rPr>
                <w:b w:val="false"/>
                <w:bCs w:val="false"/>
                <w:sz w:val="19"/>
                <w:szCs w:val="19"/>
              </w:rPr>
              <w:t xml:space="preserve">Autos y resoluciones SRVR — Macrocaso 003</w:t>
            </w:r>
          </w:p>
        </w:tc>
      </w:tr>
      <w:tr>
        <w:tc>
          <w:tcPr>
            <w:tcW w:type="dxa" w:w="1400"/>
            <w:shd w:fill="F2F2F2" w:val="clear"/>
          </w:tcPr>
          <w:p>
            <w:pPr>
              <w:jc w:val="left"/>
            </w:pPr>
            <w:r>
              <w:rPr>
                <w:b/>
                <w:bCs/>
                <w:sz w:val="19"/>
                <w:szCs w:val="19"/>
              </w:rPr>
              <w:t xml:space="preserve">C-JEP oral</w:t>
            </w:r>
          </w:p>
        </w:tc>
        <w:tc>
          <w:tcPr>
            <w:tcW w:type="dxa" w:w="1000"/>
            <w:shd w:fill="F2F2F2" w:val="clear"/>
          </w:tcPr>
          <w:p>
            <w:pPr>
              <w:jc w:val="center"/>
            </w:pPr>
            <w:r>
              <w:rPr>
                <w:b w:val="false"/>
                <w:bCs w:val="false"/>
                <w:sz w:val="19"/>
                <w:szCs w:val="19"/>
              </w:rPr>
              <w:t xml:space="preserve">5</w:t>
            </w:r>
          </w:p>
        </w:tc>
        <w:tc>
          <w:tcPr>
            <w:tcW w:type="dxa" w:w="1400"/>
            <w:shd w:fill="F2F2F2" w:val="clear"/>
          </w:tcPr>
          <w:p>
            <w:pPr>
              <w:jc w:val="center"/>
            </w:pPr>
            <w:r>
              <w:rPr>
                <w:b w:val="false"/>
                <w:bCs w:val="false"/>
                <w:sz w:val="19"/>
                <w:szCs w:val="19"/>
              </w:rPr>
              <w:t xml:space="preserve">588</w:t>
            </w:r>
          </w:p>
        </w:tc>
        <w:tc>
          <w:tcPr>
            <w:tcW w:type="dxa" w:w="1800"/>
            <w:shd w:fill="F2F2F2" w:val="clear"/>
          </w:tcPr>
          <w:p>
            <w:pPr>
              <w:jc w:val="center"/>
            </w:pPr>
            <w:r>
              <w:rPr>
                <w:b w:val="false"/>
                <w:bCs w:val="false"/>
                <w:sz w:val="19"/>
                <w:szCs w:val="19"/>
              </w:rPr>
              <w:t xml:space="preserve">2022–2024</w:t>
            </w:r>
          </w:p>
        </w:tc>
        <w:tc>
          <w:tcPr>
            <w:tcW w:type="dxa" w:w="3760"/>
            <w:shd w:fill="F2F2F2" w:val="clear"/>
          </w:tcPr>
          <w:p>
            <w:pPr>
              <w:jc w:val="center"/>
            </w:pPr>
            <w:r>
              <w:rPr>
                <w:b w:val="false"/>
                <w:bCs w:val="false"/>
                <w:sz w:val="19"/>
                <w:szCs w:val="19"/>
              </w:rPr>
              <w:t xml:space="preserve">Audiencias JEP — 38.1h │ 1.17M chars</w:t>
            </w:r>
          </w:p>
        </w:tc>
      </w:tr>
      <w:tr>
        <w:tc>
          <w:tcPr>
            <w:tcW w:type="dxa" w:w="1400"/>
            <w:shd w:fill="FFFFFF" w:val="clear"/>
          </w:tcPr>
          <w:p>
            <w:pPr>
              <w:jc w:val="left"/>
            </w:pPr>
            <w:r>
              <w:rPr>
                <w:b/>
                <w:bCs/>
                <w:sz w:val="19"/>
                <w:szCs w:val="19"/>
              </w:rPr>
              <w:t xml:space="preserve">TOTAL</w:t>
            </w:r>
          </w:p>
        </w:tc>
        <w:tc>
          <w:tcPr>
            <w:tcW w:type="dxa" w:w="1000"/>
            <w:shd w:fill="FFFFFF" w:val="clear"/>
          </w:tcPr>
          <w:p>
            <w:pPr>
              <w:jc w:val="center"/>
            </w:pPr>
            <w:r>
              <w:rPr>
                <w:b w:val="false"/>
                <w:bCs w:val="false"/>
                <w:sz w:val="19"/>
                <w:szCs w:val="19"/>
              </w:rPr>
              <w:t xml:space="preserve">300+</w:t>
            </w:r>
          </w:p>
        </w:tc>
        <w:tc>
          <w:tcPr>
            <w:tcW w:type="dxa" w:w="1400"/>
            <w:shd w:fill="FFFFFF" w:val="clear"/>
          </w:tcPr>
          <w:p>
            <w:pPr>
              <w:jc w:val="center"/>
            </w:pPr>
            <w:r>
              <w:rPr>
                <w:b w:val="false"/>
                <w:bCs w:val="false"/>
                <w:sz w:val="19"/>
                <w:szCs w:val="19"/>
              </w:rPr>
              <w:t xml:space="preserve">—</w:t>
            </w:r>
          </w:p>
        </w:tc>
        <w:tc>
          <w:tcPr>
            <w:tcW w:type="dxa" w:w="1800"/>
            <w:shd w:fill="FFFFFF" w:val="clear"/>
          </w:tcPr>
          <w:p>
            <w:pPr>
              <w:jc w:val="center"/>
            </w:pPr>
            <w:r>
              <w:rPr>
                <w:b w:val="false"/>
                <w:bCs w:val="false"/>
                <w:sz w:val="19"/>
                <w:szCs w:val="19"/>
              </w:rPr>
              <w:t xml:space="preserve">1994–2024</w:t>
            </w:r>
          </w:p>
        </w:tc>
        <w:tc>
          <w:tcPr>
            <w:tcW w:type="dxa" w:w="3760"/>
            <w:shd w:fill="FFFFFF" w:val="clear"/>
          </w:tcPr>
          <w:p>
            <w:pPr>
              <w:jc w:val="center"/>
            </w:pPr>
            <w:r>
              <w:rPr>
                <w:b w:val="false"/>
                <w:bCs w:val="false"/>
                <w:sz w:val="19"/>
                <w:szCs w:val="19"/>
              </w:rPr>
              <w:t xml:space="preserve">A + B escrito + C oral</w:t>
            </w:r>
          </w:p>
        </w:tc>
      </w:tr>
    </w:tbl>
    <w:p>
      <w:pPr>
        <w:spacing w:after="120" w:line="276"/>
        <w:jc w:val="both"/>
      </w:pPr>
      <w:r>
        <w:rPr>
          <w:sz w:val="22"/>
          <w:szCs w:val="22"/>
        </w:rPr>
        <w:t xml:space="preserve">El Corpus B fue reconstruido a partir de la segmentación temática de sus 14 documentos únicos, produciendo 80 secciones válidas (RECONOCIMIENTO 14, HECHOS_Y_CONDUCTAS 14, CALIFICACIÓN_JURÍDICA 13, PATRONES_MACROCRIMINALES 11, SANCIONES_PROPIAS 11, CONSIDERACIONES 8, RESUELVE 6, CUERPO 3). Esta base sustituye a la versión preliminar y constituye el Corpus B canónico sobre el que se calculan todos los indicadores de este capítulo.</w:t>
      </w:r>
    </w:p>
    <w:p>
      <w:pPr>
        <w:pStyle w:val="Heading2"/>
        <w:spacing w:after="100" w:before="200"/>
      </w:pPr>
      <w:r>
        <w:rPr>
          <w:b/>
          <w:bCs/>
          <w:color w:val="1F3864"/>
          <w:sz w:val="26"/>
          <w:szCs w:val="26"/>
        </w:rPr>
        <w:t xml:space="preserve">5.2 Capa 1 — Indicadores léxicos</w:t>
      </w:r>
    </w:p>
    <w:p>
      <w:pPr>
        <w:pStyle w:val="Heading3"/>
        <w:spacing w:after="80" w:before="160"/>
      </w:pPr>
      <w:r>
        <w:rPr>
          <w:b/>
          <w:bCs/>
          <w:color w:val="1F3864"/>
          <w:sz w:val="23"/>
          <w:szCs w:val="23"/>
        </w:rPr>
        <w:t xml:space="preserve">5.2.1 Accountability y persona gramatical</w:t>
      </w:r>
    </w:p>
    <w:p>
      <w:pPr>
        <w:spacing w:after="120" w:line="276"/>
        <w:jc w:val="both"/>
      </w:pPr>
      <w:r>
        <w:rPr>
          <w:sz w:val="22"/>
          <w:szCs w:val="22"/>
        </w:rPr>
        <w:t xml:space="preserve">El accountability_score —ratio de construcciones de primera persona activa frente a pasivas/impersonales—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80" w:before="160"/>
      </w:pPr>
      <w:r>
        <w:rPr>
          <w:b/>
          <w:bCs/>
          <w:color w:val="1F3864"/>
          <w:sz w:val="23"/>
          <w:szCs w:val="23"/>
        </w:rPr>
        <w:t xml:space="preserve">5.2.2 Hedging — evasión epistémica</w:t>
      </w:r>
    </w:p>
    <w:p>
      <w:pPr>
        <w:spacing w:after="120" w:line="276"/>
        <w:jc w:val="both"/>
      </w:pPr>
      <w:r>
        <w:rPr>
          <w:sz w:val="22"/>
          <w:szCs w:val="22"/>
        </w:rPr>
        <w:t xml:space="preserve">El hedging_density —marcadores de evasión epistémica por 100 palabras—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80" w:before="160"/>
      </w:pPr>
      <w:r>
        <w:rPr>
          <w:b/>
          <w:bCs/>
          <w:color w:val="1F3864"/>
          <w:sz w:val="23"/>
          <w:szCs w:val="23"/>
        </w:rPr>
        <w:t xml:space="preserve">5.2.3 Léxico emocional</w:t>
      </w:r>
    </w:p>
    <w:p>
      <w:pPr>
        <w:spacing w:after="60" w:before="60"/>
      </w:pPr>
      <w:r>
        <w:rPr>
          <w:i/>
          <w:iCs/>
          <w:color w:val="595959"/>
          <w:sz w:val="19"/>
          <w:szCs w:val="19"/>
        </w:rPr>
        <w:t xml:space="preserve">Tabla 5.2. Léxico emocional Corpus A vs B — 6 dimensiones. Lexicón NRC adaptado al español judicial.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shd w:fill="1F3864" w:val="clear"/>
          </w:tcPr>
          <w:p>
            <w:pPr>
              <w:jc w:val="center"/>
            </w:pPr>
            <w:r>
              <w:rPr>
                <w:b/>
                <w:bCs/>
                <w:color w:val="FFFFFF"/>
                <w:sz w:val="19"/>
                <w:szCs w:val="19"/>
              </w:rPr>
              <w:t xml:space="preserve">Dimensión emocional</w:t>
            </w:r>
          </w:p>
        </w:tc>
        <w:tc>
          <w:tcPr>
            <w:tcW w:type="dxa" w:w="1900"/>
            <w:shd w:fill="1F3864" w:val="clear"/>
          </w:tcPr>
          <w:p>
            <w:pPr>
              <w:jc w:val="center"/>
            </w:pPr>
            <w:r>
              <w:rPr>
                <w:b/>
                <w:bCs/>
                <w:color w:val="FFFFFF"/>
                <w:sz w:val="19"/>
                <w:szCs w:val="19"/>
              </w:rPr>
              <w:t xml:space="preserve">Corpus A</w:t>
            </w:r>
          </w:p>
        </w:tc>
        <w:tc>
          <w:tcPr>
            <w:tcW w:type="dxa" w:w="1900"/>
            <w:shd w:fill="1F3864" w:val="clear"/>
          </w:tcPr>
          <w:p>
            <w:pPr>
              <w:jc w:val="center"/>
            </w:pPr>
            <w:r>
              <w:rPr>
                <w:b/>
                <w:bCs/>
                <w:color w:val="FFFFFF"/>
                <w:sz w:val="19"/>
                <w:szCs w:val="19"/>
              </w:rPr>
              <w:t xml:space="preserve">Corpus B</w:t>
            </w:r>
          </w:p>
        </w:tc>
        <w:tc>
          <w:tcPr>
            <w:tcW w:type="dxa" w:w="2000"/>
            <w:shd w:fill="1F3864" w:val="clear"/>
          </w:tcPr>
          <w:p>
            <w:pPr>
              <w:jc w:val="center"/>
            </w:pPr>
            <w:r>
              <w:rPr>
                <w:b/>
                <w:bCs/>
                <w:color w:val="FFFFFF"/>
                <w:sz w:val="19"/>
                <w:szCs w:val="19"/>
              </w:rPr>
              <w:t xml:space="preserve">Dirección</w:t>
            </w:r>
          </w:p>
        </w:tc>
      </w:tr>
      <w:tr>
        <w:tc>
          <w:tcPr>
            <w:tcW w:type="dxa" w:w="3560"/>
            <w:shd w:fill="FFFFFF" w:val="clear"/>
          </w:tcPr>
          <w:p>
            <w:pPr>
              <w:jc w:val="left"/>
            </w:pPr>
            <w:r>
              <w:rPr>
                <w:b/>
                <w:bCs/>
                <w:sz w:val="19"/>
                <w:szCs w:val="19"/>
              </w:rPr>
              <w:t xml:space="preserve">Culpa / responsabilidad</w:t>
            </w:r>
          </w:p>
        </w:tc>
        <w:tc>
          <w:tcPr>
            <w:tcW w:type="dxa" w:w="1900"/>
            <w:shd w:fill="FFFFFF" w:val="clear"/>
          </w:tcPr>
          <w:p>
            <w:pPr>
              <w:jc w:val="center"/>
            </w:pPr>
            <w:r>
              <w:rPr>
                <w:b w:val="false"/>
                <w:bCs w:val="false"/>
                <w:sz w:val="19"/>
                <w:szCs w:val="19"/>
              </w:rPr>
              <w:t xml:space="preserve">0.251</w:t>
            </w:r>
          </w:p>
        </w:tc>
        <w:tc>
          <w:tcPr>
            <w:tcW w:type="dxa" w:w="1900"/>
            <w:shd w:fill="FFFFFF" w:val="clear"/>
          </w:tcPr>
          <w:p>
            <w:pPr>
              <w:jc w:val="center"/>
            </w:pPr>
            <w:r>
              <w:rPr>
                <w:b w:val="false"/>
                <w:bCs w:val="false"/>
                <w:sz w:val="19"/>
                <w:szCs w:val="19"/>
              </w:rPr>
              <w:t xml:space="preserve">0.275</w:t>
            </w:r>
          </w:p>
        </w:tc>
        <w:tc>
          <w:tcPr>
            <w:tcW w:type="dxa" w:w="2000"/>
            <w:shd w:fill="FFFFFF" w:val="clear"/>
          </w:tcPr>
          <w:p>
            <w:pPr>
              <w:jc w:val="center"/>
            </w:pPr>
            <w:r>
              <w:rPr>
                <w:b w:val="false"/>
                <w:bCs w:val="false"/>
                <w:sz w:val="19"/>
                <w:szCs w:val="19"/>
              </w:rPr>
              <w:t xml:space="preserve">B &gt; A ✓</w:t>
            </w:r>
          </w:p>
        </w:tc>
      </w:tr>
      <w:tr>
        <w:tc>
          <w:tcPr>
            <w:tcW w:type="dxa" w:w="3560"/>
            <w:shd w:fill="F2F2F2" w:val="clear"/>
          </w:tcPr>
          <w:p>
            <w:pPr>
              <w:jc w:val="left"/>
            </w:pPr>
            <w:r>
              <w:rPr>
                <w:b/>
                <w:bCs/>
                <w:sz w:val="19"/>
                <w:szCs w:val="19"/>
              </w:rPr>
              <w:t xml:space="preserve">Tristeza / sufrimiento</w:t>
            </w:r>
          </w:p>
        </w:tc>
        <w:tc>
          <w:tcPr>
            <w:tcW w:type="dxa" w:w="1900"/>
            <w:shd w:fill="F2F2F2" w:val="clear"/>
          </w:tcPr>
          <w:p>
            <w:pPr>
              <w:jc w:val="center"/>
            </w:pPr>
            <w:r>
              <w:rPr>
                <w:b w:val="false"/>
                <w:bCs w:val="false"/>
                <w:sz w:val="19"/>
                <w:szCs w:val="19"/>
              </w:rPr>
              <w:t xml:space="preserve">0.455</w:t>
            </w:r>
          </w:p>
        </w:tc>
        <w:tc>
          <w:tcPr>
            <w:tcW w:type="dxa" w:w="1900"/>
            <w:shd w:fill="F2F2F2" w:val="clear"/>
          </w:tcPr>
          <w:p>
            <w:pPr>
              <w:jc w:val="center"/>
            </w:pPr>
            <w:r>
              <w:rPr>
                <w:b w:val="false"/>
                <w:bCs w:val="false"/>
                <w:sz w:val="19"/>
                <w:szCs w:val="19"/>
              </w:rPr>
              <w:t xml:space="preserve">0.315</w:t>
            </w:r>
          </w:p>
        </w:tc>
        <w:tc>
          <w:tcPr>
            <w:tcW w:type="dxa" w:w="2000"/>
            <w:shd w:fill="F2F2F2" w:val="clear"/>
          </w:tcPr>
          <w:p>
            <w:pPr>
              <w:jc w:val="center"/>
            </w:pPr>
            <w:r>
              <w:rPr>
                <w:b w:val="false"/>
                <w:bCs w:val="false"/>
                <w:sz w:val="19"/>
                <w:szCs w:val="19"/>
              </w:rPr>
              <w:t xml:space="preserve">A &gt; B</w:t>
            </w:r>
          </w:p>
        </w:tc>
      </w:tr>
      <w:tr>
        <w:tc>
          <w:tcPr>
            <w:tcW w:type="dxa" w:w="3560"/>
            <w:shd w:fill="FFFFFF" w:val="clear"/>
          </w:tcPr>
          <w:p>
            <w:pPr>
              <w:jc w:val="left"/>
            </w:pPr>
            <w:r>
              <w:rPr>
                <w:b/>
                <w:bCs/>
                <w:sz w:val="19"/>
                <w:szCs w:val="19"/>
              </w:rPr>
              <w:t xml:space="preserve">Ira / confrontación</w:t>
            </w:r>
          </w:p>
        </w:tc>
        <w:tc>
          <w:tcPr>
            <w:tcW w:type="dxa" w:w="1900"/>
            <w:shd w:fill="FFFFFF" w:val="clear"/>
          </w:tcPr>
          <w:p>
            <w:pPr>
              <w:jc w:val="center"/>
            </w:pPr>
            <w:r>
              <w:rPr>
                <w:b w:val="false"/>
                <w:bCs w:val="false"/>
                <w:sz w:val="19"/>
                <w:szCs w:val="19"/>
              </w:rPr>
              <w:t xml:space="preserve">0.122</w:t>
            </w:r>
          </w:p>
        </w:tc>
        <w:tc>
          <w:tcPr>
            <w:tcW w:type="dxa" w:w="1900"/>
            <w:shd w:fill="FFFFFF" w:val="clear"/>
          </w:tcPr>
          <w:p>
            <w:pPr>
              <w:jc w:val="center"/>
            </w:pPr>
            <w:r>
              <w:rPr>
                <w:b w:val="false"/>
                <w:bCs w:val="false"/>
                <w:sz w:val="19"/>
                <w:szCs w:val="19"/>
              </w:rPr>
              <w:t xml:space="preserve">0.018</w:t>
            </w:r>
          </w:p>
        </w:tc>
        <w:tc>
          <w:tcPr>
            <w:tcW w:type="dxa" w:w="2000"/>
            <w:shd w:fill="FFFFFF" w:val="clear"/>
          </w:tcPr>
          <w:p>
            <w:pPr>
              <w:jc w:val="center"/>
            </w:pPr>
            <w:r>
              <w:rPr>
                <w:b w:val="false"/>
                <w:bCs w:val="false"/>
                <w:sz w:val="19"/>
                <w:szCs w:val="19"/>
              </w:rPr>
              <w:t xml:space="preserve">A &gt;&gt; B ✓</w:t>
            </w:r>
          </w:p>
        </w:tc>
      </w:tr>
      <w:tr>
        <w:tc>
          <w:tcPr>
            <w:tcW w:type="dxa" w:w="3560"/>
            <w:shd w:fill="F2F2F2" w:val="clear"/>
          </w:tcPr>
          <w:p>
            <w:pPr>
              <w:jc w:val="left"/>
            </w:pPr>
            <w:r>
              <w:rPr>
                <w:b/>
                <w:bCs/>
                <w:sz w:val="19"/>
                <w:szCs w:val="19"/>
              </w:rPr>
              <w:t xml:space="preserve">Confianza / derecho / garantía</w:t>
            </w:r>
          </w:p>
        </w:tc>
        <w:tc>
          <w:tcPr>
            <w:tcW w:type="dxa" w:w="1900"/>
            <w:shd w:fill="F2F2F2" w:val="clear"/>
          </w:tcPr>
          <w:p>
            <w:pPr>
              <w:jc w:val="center"/>
            </w:pPr>
            <w:r>
              <w:rPr>
                <w:b w:val="false"/>
                <w:bCs w:val="false"/>
                <w:sz w:val="19"/>
                <w:szCs w:val="19"/>
              </w:rPr>
              <w:t xml:space="preserve">1.887</w:t>
            </w:r>
          </w:p>
        </w:tc>
        <w:tc>
          <w:tcPr>
            <w:tcW w:type="dxa" w:w="1900"/>
            <w:shd w:fill="F2F2F2" w:val="clear"/>
          </w:tcPr>
          <w:p>
            <w:pPr>
              <w:jc w:val="center"/>
            </w:pPr>
            <w:r>
              <w:rPr>
                <w:b w:val="false"/>
                <w:bCs w:val="false"/>
                <w:sz w:val="19"/>
                <w:szCs w:val="19"/>
              </w:rPr>
              <w:t xml:space="preserve">1.121</w:t>
            </w:r>
          </w:p>
        </w:tc>
        <w:tc>
          <w:tcPr>
            <w:tcW w:type="dxa" w:w="2000"/>
            <w:shd w:fill="F2F2F2" w:val="clear"/>
          </w:tcPr>
          <w:p>
            <w:pPr>
              <w:jc w:val="center"/>
            </w:pPr>
            <w:r>
              <w:rPr>
                <w:b w:val="false"/>
                <w:bCs w:val="false"/>
                <w:sz w:val="19"/>
                <w:szCs w:val="19"/>
              </w:rPr>
              <w:t xml:space="preserve">A &gt; B</w:t>
            </w:r>
          </w:p>
        </w:tc>
      </w:tr>
      <w:tr>
        <w:tc>
          <w:tcPr>
            <w:tcW w:type="dxa" w:w="3560"/>
            <w:shd w:fill="FFFFFF" w:val="clear"/>
          </w:tcPr>
          <w:p>
            <w:pPr>
              <w:jc w:val="left"/>
            </w:pPr>
            <w:r>
              <w:rPr>
                <w:b/>
                <w:bCs/>
                <w:sz w:val="19"/>
                <w:szCs w:val="19"/>
              </w:rPr>
              <w:t xml:space="preserve">Violencia institucional (eufem.)</w:t>
            </w:r>
          </w:p>
        </w:tc>
        <w:tc>
          <w:tcPr>
            <w:tcW w:type="dxa" w:w="1900"/>
            <w:shd w:fill="FFFFFF" w:val="clear"/>
          </w:tcPr>
          <w:p>
            <w:pPr>
              <w:jc w:val="center"/>
            </w:pPr>
            <w:r>
              <w:rPr>
                <w:b w:val="false"/>
                <w:bCs w:val="false"/>
                <w:sz w:val="19"/>
                <w:szCs w:val="19"/>
              </w:rPr>
              <w:t xml:space="preserve">0.098</w:t>
            </w:r>
          </w:p>
        </w:tc>
        <w:tc>
          <w:tcPr>
            <w:tcW w:type="dxa" w:w="1900"/>
            <w:shd w:fill="FFFFFF" w:val="clear"/>
          </w:tcPr>
          <w:p>
            <w:pPr>
              <w:jc w:val="center"/>
            </w:pPr>
            <w:r>
              <w:rPr>
                <w:b w:val="false"/>
                <w:bCs w:val="false"/>
                <w:sz w:val="19"/>
                <w:szCs w:val="19"/>
              </w:rPr>
              <w:t xml:space="preserve">0.071</w:t>
            </w:r>
          </w:p>
        </w:tc>
        <w:tc>
          <w:tcPr>
            <w:tcW w:type="dxa" w:w="2000"/>
            <w:shd w:fill="FFFFFF" w:val="clear"/>
          </w:tcPr>
          <w:p>
            <w:pPr>
              <w:jc w:val="center"/>
            </w:pPr>
            <w:r>
              <w:rPr>
                <w:b w:val="false"/>
                <w:bCs w:val="false"/>
                <w:sz w:val="19"/>
                <w:szCs w:val="19"/>
              </w:rPr>
              <w:t xml:space="preserve">A &gt; B ✓</w:t>
            </w:r>
          </w:p>
        </w:tc>
      </w:tr>
      <w:tr>
        <w:tc>
          <w:tcPr>
            <w:tcW w:type="dxa" w:w="3560"/>
            <w:shd w:fill="F2F2F2" w:val="clear"/>
          </w:tcPr>
          <w:p>
            <w:pPr>
              <w:jc w:val="left"/>
            </w:pPr>
            <w:r>
              <w:rPr>
                <w:b/>
                <w:bCs/>
                <w:sz w:val="19"/>
                <w:szCs w:val="19"/>
              </w:rPr>
              <w:t xml:space="preserve">Balance víctimas (compuesto)</w:t>
            </w:r>
          </w:p>
        </w:tc>
        <w:tc>
          <w:tcPr>
            <w:tcW w:type="dxa" w:w="1900"/>
            <w:shd w:fill="F2F2F2" w:val="clear"/>
          </w:tcPr>
          <w:p>
            <w:pPr>
              <w:jc w:val="center"/>
            </w:pPr>
            <w:r>
              <w:rPr>
                <w:b w:val="false"/>
                <w:bCs w:val="false"/>
                <w:sz w:val="19"/>
                <w:szCs w:val="19"/>
              </w:rPr>
              <w:t xml:space="preserve">0.569</w:t>
            </w:r>
          </w:p>
        </w:tc>
        <w:tc>
          <w:tcPr>
            <w:tcW w:type="dxa" w:w="1900"/>
            <w:shd w:fill="F2F2F2" w:val="clear"/>
          </w:tcPr>
          <w:p>
            <w:pPr>
              <w:jc w:val="center"/>
            </w:pPr>
            <w:r>
              <w:rPr>
                <w:b w:val="false"/>
                <w:bCs w:val="false"/>
                <w:sz w:val="19"/>
                <w:szCs w:val="19"/>
              </w:rPr>
              <w:t xml:space="preserve">0.656</w:t>
            </w:r>
          </w:p>
        </w:tc>
        <w:tc>
          <w:tcPr>
            <w:tcW w:type="dxa" w:w="2000"/>
            <w:shd w:fill="F2F2F2" w:val="clear"/>
          </w:tcPr>
          <w:p>
            <w:pPr>
              <w:jc w:val="center"/>
            </w:pPr>
            <w:r>
              <w:rPr>
                <w:b w:val="false"/>
                <w:bCs w:val="false"/>
                <w:sz w:val="19"/>
                <w:szCs w:val="19"/>
              </w:rPr>
              <w:t xml:space="preserve">B &gt; A ✓✓</w:t>
            </w:r>
          </w:p>
        </w:tc>
      </w:tr>
    </w:tbl>
    <w:p>
      <w:pPr>
        <w:spacing w:after="120" w:line="276"/>
        <w:jc w:val="both"/>
      </w:pPr>
      <w:r>
        <w:rPr>
          <w:sz w:val="22"/>
          <w:szCs w:val="22"/>
        </w:rPr>
        <w:t xml:space="preserve">El balance_victimas (B=0.656 vs A=0.569) es el hallazgo más relevante del léxico emocional: el Corpus B está significativamente más orientado al lenguaje de las víctimas que al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80" w:before="160"/>
      </w:pPr>
      <w:r>
        <w:rPr>
          <w:b/>
          <w:bCs/>
          <w:color w:val="1F3864"/>
          <w:sz w:val="23"/>
          <w:szCs w:val="23"/>
        </w:rPr>
        <w:t xml:space="preserve">5.2.4 EBI (y₁), SA (y₂) y NV (y₄)</w:t>
      </w:r>
    </w:p>
    <w:p>
      <w:pPr>
        <w:spacing w:after="120" w:line="276"/>
        <w:jc w:val="both"/>
      </w:pPr>
      <w:r>
        <w:rPr>
          <w:b/>
          <w:bCs/>
          <w:sz w:val="22"/>
          <w:szCs w:val="22"/>
        </w:rPr>
        <w:t xml:space="preserve">Eufemismo Bélico-Institucional (y₁). </w:t>
      </w:r>
      <w:r>
        <w:rPr>
          <w:sz w:val="22"/>
          <w:szCs w:val="22"/>
        </w:rPr>
        <w:t xml:space="preserve">El indicador EBI, recuperado mediante el gazetteer de eufemismos bélico-institucionales, revela un patrón contraintuitivo: el Corpus B (JEP) presenta mayor densidad de EBI que el Corpus A (justicia ordinaria) (B=0.451 vs A=0.186, p&lt;0.001, d=−0.41). El análisis por sección esclarece este resultado: en el Corpus B el EBI se concentra en las secciones descriptivas y de razonamiento jurídico (media=0.526) frente a las secciones performativas de reconocimiento y sanción (media=0.332), siendo máximo en CONSIDERACIONES (1.106) y HECHOS_Y_CONDUCTAS (0.639) y mínimo en SANCIONES_PROPIAS (0.143). Este patrón es consistente con un uso metalingüístico citativo: la JEP reproduce el vocabulario militar-institucional al describir y analizar los hechos —citando el lenguaje oficial de los informes originales— para nombrarlos y refutarlos, no para avalarlos. El fenómeno es análogo al metalenguaje citativo documentado en la Negación de Victimización, donde el vocabulario de la deshumanización aparece en los documentos transicionales en función de cita crítica.</w:t>
      </w:r>
    </w:p>
    <w:p>
      <w:pPr>
        <w:spacing w:after="120" w:line="276"/>
        <w:jc w:val="both"/>
      </w:pPr>
      <w:r>
        <w:rPr>
          <w:b/>
          <w:bCs/>
          <w:sz w:val="22"/>
          <w:szCs w:val="22"/>
        </w:rPr>
        <w:t xml:space="preserve">Supresión de Agentividad y Negación de Victimización. </w:t>
      </w:r>
      <w:r>
        <w:rPr>
          <w:sz w:val="22"/>
          <w:szCs w:val="22"/>
        </w:rPr>
        <w:t xml:space="preserve">El SA Score no difiere significativamente entre los dos sistemas (A=0.885, B=0.873, p=0.944 n.s.): es transversal al lenguaje jurídico-institucional colombiano. El NV Score es prácticamente equivalente entre corpus (A=0.239, B=0.236, p=0.024, d=0.009): su significancia estadística es un artefacto del gran tamaño del Corpus A, pero el tamaño de efecto es trivial. Esta coexistencia de NV con el reconocimiento no es paradójica sino estructural: el Corpus B cita el vocabulario NV original para refutarlo mediante metalenguaje citativo, en línea con el patrón observado en el EBI.</w:t>
      </w:r>
    </w:p>
    <w:p>
      <w:pPr>
        <w:pStyle w:val="Heading2"/>
        <w:spacing w:after="100" w:before="200"/>
      </w:pPr>
      <w:r>
        <w:rPr>
          <w:b/>
          <w:bCs/>
          <w:color w:val="1F3864"/>
          <w:sz w:val="26"/>
          <w:szCs w:val="26"/>
        </w:rPr>
        <w:t xml:space="preserve">5.3 Capa 2 — REP Score (y₁₀)</w:t>
      </w:r>
    </w:p>
    <w:p>
      <w:pPr>
        <w:spacing w:after="120" w:line="276"/>
        <w:jc w:val="both"/>
      </w:pPr>
      <w:r>
        <w:rPr>
          <w:sz w:val="22"/>
          <w:szCs w:val="22"/>
        </w:rPr>
        <w:t xml:space="preserve">El REP Score del Corpus B (media=0.282) es significativamente mayor que el del Corpus A (media=0.133), con una brecha de +0.149, p&lt;0.001 (***) y un tamaño de efecto d=0.61, el más sustantivo de todos los indicadores léxicos. La sección RECONOCIMIENTO del Corpus B presenta el REP más alto, mientras que PATRONES_MACROCRIMINALES tiende a REP mínimo —usa lenguaje analítico-descriptivo, no performativo. La Ruptura Epistémica Positiva es, por tanto, el marcador léxico que con mayor fuerza distingue la justicia transicional de la ordinaria.</w:t>
      </w:r>
    </w:p>
    <w:p>
      <w:pPr>
        <w:pStyle w:val="Heading2"/>
        <w:spacing w:after="100" w:before="200"/>
      </w:pPr>
      <w:r>
        <w:rPr>
          <w:b/>
          <w:bCs/>
          <w:color w:val="1F3864"/>
          <w:sz w:val="26"/>
          <w:szCs w:val="26"/>
        </w:rPr>
        <w:t xml:space="preserve">5.4 Capa 2 — Distancias semánticas y₈ y y₉</w:t>
      </w:r>
    </w:p>
    <w:p>
      <w:pPr>
        <w:spacing w:after="60" w:before="60"/>
      </w:pPr>
      <w:r>
        <w:rPr>
          <w:i/>
          <w:iCs/>
          <w:color w:val="595959"/>
          <w:sz w:val="19"/>
          <w:szCs w:val="19"/>
        </w:rPr>
        <w:t xml:space="preserve">Tabla 5.3. Distancias semánticas y₈ (MAFAPO) y y₉ (CIDH) — ConfliBERT-Spanish. Menor distancia = mayor cercanía al lenguaje de referencia. *** p&lt;0.001.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560"/>
        <w:gridCol w:w="1200"/>
      </w:tblGrid>
      <w:tr>
        <w:trPr>
          <w:tblHeader/>
        </w:trPr>
        <w:tc>
          <w:tcPr>
            <w:tcW w:type="dxa" w:w="2400"/>
            <w:shd w:fill="1F3864" w:val="clear"/>
          </w:tcPr>
          <w:p>
            <w:pPr>
              <w:jc w:val="center"/>
            </w:pPr>
            <w:r>
              <w:rPr>
                <w:b/>
                <w:bCs/>
                <w:color w:val="FFFFFF"/>
                <w:sz w:val="19"/>
                <w:szCs w:val="19"/>
              </w:rPr>
              <w:t xml:space="preserve">Indicador</w:t>
            </w:r>
          </w:p>
        </w:tc>
        <w:tc>
          <w:tcPr>
            <w:tcW w:type="dxa" w:w="1400"/>
            <w:shd w:fill="1F3864" w:val="clear"/>
          </w:tcPr>
          <w:p>
            <w:pPr>
              <w:jc w:val="center"/>
            </w:pPr>
            <w:r>
              <w:rPr>
                <w:b/>
                <w:bCs/>
                <w:color w:val="FFFFFF"/>
                <w:sz w:val="19"/>
                <w:szCs w:val="19"/>
              </w:rPr>
              <w:t xml:space="preserve">Corpus A</w:t>
            </w:r>
          </w:p>
        </w:tc>
        <w:tc>
          <w:tcPr>
            <w:tcW w:type="dxa" w:w="1400"/>
            <w:shd w:fill="1F3864" w:val="clear"/>
          </w:tcPr>
          <w:p>
            <w:pPr>
              <w:jc w:val="center"/>
            </w:pPr>
            <w:r>
              <w:rPr>
                <w:b/>
                <w:bCs/>
                <w:color w:val="FFFFFF"/>
                <w:sz w:val="19"/>
                <w:szCs w:val="19"/>
              </w:rPr>
              <w:t xml:space="preserve">Corpus B</w:t>
            </w:r>
          </w:p>
        </w:tc>
        <w:tc>
          <w:tcPr>
            <w:tcW w:type="dxa" w:w="1400"/>
            <w:shd w:fill="1F3864" w:val="clear"/>
          </w:tcPr>
          <w:p>
            <w:pPr>
              <w:jc w:val="center"/>
            </w:pPr>
            <w:r>
              <w:rPr>
                <w:b/>
                <w:bCs/>
                <w:color w:val="FFFFFF"/>
                <w:sz w:val="19"/>
                <w:szCs w:val="19"/>
              </w:rPr>
              <w:t xml:space="preserve">Corpus C</w:t>
            </w:r>
          </w:p>
        </w:tc>
        <w:tc>
          <w:tcPr>
            <w:tcW w:type="dxa" w:w="1560"/>
            <w:shd w:fill="1F3864" w:val="clear"/>
          </w:tcPr>
          <w:p>
            <w:pPr>
              <w:jc w:val="center"/>
            </w:pPr>
            <w:r>
              <w:rPr>
                <w:b/>
                <w:bCs/>
                <w:color w:val="FFFFFF"/>
                <w:sz w:val="19"/>
                <w:szCs w:val="19"/>
              </w:rPr>
              <w:t xml:space="preserve">p (A vs B)</w:t>
            </w:r>
          </w:p>
        </w:tc>
        <w:tc>
          <w:tcPr>
            <w:tcW w:type="dxa" w:w="1200"/>
            <w:shd w:fill="1F3864" w:val="clear"/>
          </w:tcPr>
          <w:p>
            <w:pPr>
              <w:jc w:val="center"/>
            </w:pPr>
            <w:r>
              <w:rPr>
                <w:b/>
                <w:bCs/>
                <w:color w:val="FFFFFF"/>
                <w:sz w:val="19"/>
                <w:szCs w:val="19"/>
              </w:rPr>
              <w:t xml:space="preserve">Dirección</w:t>
            </w:r>
          </w:p>
        </w:tc>
      </w:tr>
      <w:tr>
        <w:tc>
          <w:tcPr>
            <w:tcW w:type="dxa" w:w="2400"/>
            <w:shd w:fill="FFFFFF" w:val="clear"/>
          </w:tcPr>
          <w:p>
            <w:pPr>
              <w:jc w:val="left"/>
            </w:pPr>
            <w:r>
              <w:rPr>
                <w:b/>
                <w:bCs/>
                <w:sz w:val="19"/>
                <w:szCs w:val="19"/>
              </w:rPr>
              <w:t xml:space="preserve">y₈ Dist. MAFAPO</w:t>
            </w:r>
          </w:p>
        </w:tc>
        <w:tc>
          <w:tcPr>
            <w:tcW w:type="dxa" w:w="1400"/>
            <w:shd w:fill="FFFFFF" w:val="clear"/>
          </w:tcPr>
          <w:p>
            <w:pPr>
              <w:jc w:val="center"/>
            </w:pPr>
            <w:r>
              <w:rPr>
                <w:b w:val="false"/>
                <w:bCs w:val="false"/>
                <w:sz w:val="19"/>
                <w:szCs w:val="19"/>
              </w:rPr>
              <w:t xml:space="preserve">0.211</w:t>
            </w:r>
          </w:p>
        </w:tc>
        <w:tc>
          <w:tcPr>
            <w:tcW w:type="dxa" w:w="1400"/>
            <w:shd w:fill="FFFFFF" w:val="clear"/>
          </w:tcPr>
          <w:p>
            <w:pPr>
              <w:jc w:val="center"/>
            </w:pPr>
            <w:r>
              <w:rPr>
                <w:b w:val="false"/>
                <w:bCs w:val="false"/>
                <w:sz w:val="19"/>
                <w:szCs w:val="19"/>
              </w:rPr>
              <w:t xml:space="preserve">0.155</w:t>
            </w:r>
          </w:p>
        </w:tc>
        <w:tc>
          <w:tcPr>
            <w:tcW w:type="dxa" w:w="1400"/>
            <w:shd w:fill="FFFFFF" w:val="clear"/>
          </w:tcPr>
          <w:p>
            <w:pPr>
              <w:jc w:val="center"/>
            </w:pPr>
            <w:r>
              <w:rPr>
                <w:b w:val="false"/>
                <w:bCs w:val="false"/>
                <w:sz w:val="19"/>
                <w:szCs w:val="19"/>
              </w:rPr>
              <w:t xml:space="preserve">0.129</w:t>
            </w:r>
          </w:p>
        </w:tc>
        <w:tc>
          <w:tcPr>
            <w:tcW w:type="dxa" w:w="1560"/>
            <w:shd w:fill="FFFFFF" w:val="clear"/>
          </w:tcPr>
          <w:p>
            <w:pPr>
              <w:jc w:val="center"/>
            </w:pPr>
            <w:r>
              <w:rPr>
                <w:b w:val="false"/>
                <w:bCs w:val="false"/>
                <w:sz w:val="19"/>
                <w:szCs w:val="19"/>
              </w:rPr>
              <w:t xml:space="preserve">&lt;0.001 ***</w:t>
            </w:r>
          </w:p>
        </w:tc>
        <w:tc>
          <w:tcPr>
            <w:tcW w:type="dxa" w:w="1200"/>
            <w:shd w:fill="FFFFFF" w:val="clear"/>
          </w:tcPr>
          <w:p>
            <w:pPr>
              <w:jc w:val="center"/>
            </w:pPr>
            <w:r>
              <w:rPr>
                <w:b w:val="false"/>
                <w:bCs w:val="false"/>
                <w:sz w:val="19"/>
                <w:szCs w:val="19"/>
              </w:rPr>
              <w:t xml:space="preserve">C &lt; B &lt; A ✓</w:t>
            </w:r>
          </w:p>
        </w:tc>
      </w:tr>
      <w:tr>
        <w:tc>
          <w:tcPr>
            <w:tcW w:type="dxa" w:w="2400"/>
            <w:shd w:fill="F2F2F2" w:val="clear"/>
          </w:tcPr>
          <w:p>
            <w:pPr>
              <w:jc w:val="left"/>
            </w:pPr>
            <w:r>
              <w:rPr>
                <w:b/>
                <w:bCs/>
                <w:sz w:val="19"/>
                <w:szCs w:val="19"/>
              </w:rPr>
              <w:t xml:space="preserve">y₉ Dist. CIDH</w:t>
            </w:r>
          </w:p>
        </w:tc>
        <w:tc>
          <w:tcPr>
            <w:tcW w:type="dxa" w:w="1400"/>
            <w:shd w:fill="F2F2F2" w:val="clear"/>
          </w:tcPr>
          <w:p>
            <w:pPr>
              <w:jc w:val="center"/>
            </w:pPr>
            <w:r>
              <w:rPr>
                <w:b w:val="false"/>
                <w:bCs w:val="false"/>
                <w:sz w:val="19"/>
                <w:szCs w:val="19"/>
              </w:rPr>
              <w:t xml:space="preserve">0.254</w:t>
            </w:r>
          </w:p>
        </w:tc>
        <w:tc>
          <w:tcPr>
            <w:tcW w:type="dxa" w:w="1400"/>
            <w:shd w:fill="F2F2F2" w:val="clear"/>
          </w:tcPr>
          <w:p>
            <w:pPr>
              <w:jc w:val="center"/>
            </w:pPr>
            <w:r>
              <w:rPr>
                <w:b w:val="false"/>
                <w:bCs w:val="false"/>
                <w:sz w:val="19"/>
                <w:szCs w:val="19"/>
              </w:rPr>
              <w:t xml:space="preserve">0.217</w:t>
            </w:r>
          </w:p>
        </w:tc>
        <w:tc>
          <w:tcPr>
            <w:tcW w:type="dxa" w:w="1400"/>
            <w:shd w:fill="F2F2F2" w:val="clear"/>
          </w:tcPr>
          <w:p>
            <w:pPr>
              <w:jc w:val="center"/>
            </w:pPr>
            <w:r>
              <w:rPr>
                <w:b w:val="false"/>
                <w:bCs w:val="false"/>
                <w:sz w:val="19"/>
                <w:szCs w:val="19"/>
              </w:rPr>
              <w:t xml:space="preserve">0.243</w:t>
            </w:r>
          </w:p>
        </w:tc>
        <w:tc>
          <w:tcPr>
            <w:tcW w:type="dxa" w:w="1560"/>
            <w:shd w:fill="F2F2F2" w:val="clear"/>
          </w:tcPr>
          <w:p>
            <w:pPr>
              <w:jc w:val="center"/>
            </w:pPr>
            <w:r>
              <w:rPr>
                <w:b w:val="false"/>
                <w:bCs w:val="false"/>
                <w:sz w:val="19"/>
                <w:szCs w:val="19"/>
              </w:rPr>
              <w:t xml:space="preserve">&lt;0.001 ***</w:t>
            </w:r>
          </w:p>
        </w:tc>
        <w:tc>
          <w:tcPr>
            <w:tcW w:type="dxa" w:w="1200"/>
            <w:shd w:fill="F2F2F2" w:val="clear"/>
          </w:tcPr>
          <w:p>
            <w:pPr>
              <w:jc w:val="center"/>
            </w:pPr>
            <w:r>
              <w:rPr>
                <w:b w:val="false"/>
                <w:bCs w:val="false"/>
                <w:sz w:val="19"/>
                <w:szCs w:val="19"/>
              </w:rPr>
              <w:t xml:space="preserve">B &lt; C &lt; A</w:t>
            </w:r>
          </w:p>
        </w:tc>
      </w:tr>
    </w:tbl>
    <w:p>
      <w:pPr>
        <w:spacing w:after="120" w:line="276"/>
        <w:jc w:val="both"/>
      </w:pPr>
      <w:r>
        <w:rPr>
          <w:sz w:val="22"/>
          <w:szCs w:val="22"/>
        </w:rPr>
        <w:t xml:space="preserve">La distancia MAFAPO (y₈) presenta el tamaño de efecto más grande del capítulo (d=1.39): el Corpus B está mucho más cerca del lenguaje de las víctimas que el Corpus A, y el Corpus C oral (y₈=0.129) aún más. La media del Corpus C es menor que la del Corpus B escrito, lo que indica que el lenguaje oral de las audiencias JEP está, en promedio, todavía más cercano al léxico de las víctimas que el lenguaje escrito formal. Para y₉ CIDH, el Corpus C (0.243) es más distante que el Corpus B (0.217): los comparecientes hablan desde la experiencia vivida, no desde el lenguaje técnico-jurídico del derecho internacional humanitario, lo que es teóricamente coherente con Zehr (2002).</w:t>
      </w:r>
    </w:p>
    <w:p>
      <w:pPr>
        <w:pStyle w:val="Heading2"/>
        <w:spacing w:after="100" w:before="200"/>
      </w:pPr>
      <w:r>
        <w:rPr>
          <w:b/>
          <w:bCs/>
          <w:color w:val="1F3864"/>
          <w:sz w:val="26"/>
          <w:szCs w:val="26"/>
        </w:rPr>
        <w:t xml:space="preserve">5.5 CFH-BERT v2 — clasificador IO con weighted loss</w:t>
      </w:r>
    </w:p>
    <w:p>
      <w:pPr>
        <w:spacing w:after="60" w:before="60"/>
      </w:pPr>
      <w:r>
        <w:rPr>
          <w:i/>
          <w:iCs/>
          <w:color w:val="595959"/>
          <w:sz w:val="19"/>
          <w:szCs w:val="19"/>
        </w:rPr>
        <w:t xml:space="preserve">Tabla 5.4. CFH-BERT v1 vs v2. n=100 anotaciones. Mejora más significativa en NV (+0.28) por weighted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400"/>
        <w:gridCol w:w="1200"/>
        <w:gridCol w:w="1200"/>
        <w:gridCol w:w="1200"/>
        <w:gridCol w:w="1200"/>
        <w:gridCol w:w="800"/>
      </w:tblGrid>
      <w:tr>
        <w:trPr>
          <w:tblHeader/>
        </w:trPr>
        <w:tc>
          <w:tcPr>
            <w:tcW w:type="dxa" w:w="2360"/>
            <w:shd w:fill="1F3864" w:val="clear"/>
          </w:tcPr>
          <w:p>
            <w:pPr>
              <w:jc w:val="center"/>
            </w:pPr>
            <w:r>
              <w:rPr>
                <w:b/>
                <w:bCs/>
                <w:color w:val="FFFFFF"/>
                <w:sz w:val="19"/>
                <w:szCs w:val="19"/>
              </w:rPr>
              <w:t xml:space="preserve">Versión</w:t>
            </w:r>
          </w:p>
        </w:tc>
        <w:tc>
          <w:tcPr>
            <w:tcW w:type="dxa" w:w="1400"/>
            <w:shd w:fill="1F3864" w:val="clear"/>
          </w:tcPr>
          <w:p>
            <w:pPr>
              <w:jc w:val="center"/>
            </w:pPr>
            <w:r>
              <w:rPr>
                <w:b/>
                <w:bCs/>
                <w:color w:val="FFFFFF"/>
                <w:sz w:val="19"/>
                <w:szCs w:val="19"/>
              </w:rPr>
              <w:t xml:space="preserve">F1 macro</w:t>
            </w:r>
          </w:p>
        </w:tc>
        <w:tc>
          <w:tcPr>
            <w:tcW w:type="dxa" w:w="1200"/>
            <w:shd w:fill="1F3864" w:val="clear"/>
          </w:tcPr>
          <w:p>
            <w:pPr>
              <w:jc w:val="center"/>
            </w:pPr>
            <w:r>
              <w:rPr>
                <w:b/>
                <w:bCs/>
                <w:color w:val="FFFFFF"/>
                <w:sz w:val="19"/>
                <w:szCs w:val="19"/>
              </w:rPr>
              <w:t xml:space="preserve">F1 REP</w:t>
            </w:r>
          </w:p>
        </w:tc>
        <w:tc>
          <w:tcPr>
            <w:tcW w:type="dxa" w:w="1200"/>
            <w:shd w:fill="1F3864" w:val="clear"/>
          </w:tcPr>
          <w:p>
            <w:pPr>
              <w:jc w:val="center"/>
            </w:pPr>
            <w:r>
              <w:rPr>
                <w:b/>
                <w:bCs/>
                <w:color w:val="FFFFFF"/>
                <w:sz w:val="19"/>
                <w:szCs w:val="19"/>
              </w:rPr>
              <w:t xml:space="preserve">F1 EBI</w:t>
            </w:r>
          </w:p>
        </w:tc>
        <w:tc>
          <w:tcPr>
            <w:tcW w:type="dxa" w:w="1200"/>
            <w:shd w:fill="1F3864" w:val="clear"/>
          </w:tcPr>
          <w:p>
            <w:pPr>
              <w:jc w:val="center"/>
            </w:pPr>
            <w:r>
              <w:rPr>
                <w:b/>
                <w:bCs/>
                <w:color w:val="FFFFFF"/>
                <w:sz w:val="19"/>
                <w:szCs w:val="19"/>
              </w:rPr>
              <w:t xml:space="preserve">F1 SA</w:t>
            </w:r>
          </w:p>
        </w:tc>
        <w:tc>
          <w:tcPr>
            <w:tcW w:type="dxa" w:w="1200"/>
            <w:shd w:fill="1F3864" w:val="clear"/>
          </w:tcPr>
          <w:p>
            <w:pPr>
              <w:jc w:val="center"/>
            </w:pPr>
            <w:r>
              <w:rPr>
                <w:b/>
                <w:bCs/>
                <w:color w:val="FFFFFF"/>
                <w:sz w:val="19"/>
                <w:szCs w:val="19"/>
              </w:rPr>
              <w:t xml:space="preserve">F1 NV</w:t>
            </w:r>
          </w:p>
        </w:tc>
        <w:tc>
          <w:tcPr>
            <w:tcW w:type="dxa" w:w="800"/>
            <w:shd w:fill="1F3864" w:val="clear"/>
          </w:tcPr>
          <w:p>
            <w:pPr>
              <w:jc w:val="center"/>
            </w:pPr>
            <w:r>
              <w:rPr>
                <w:b/>
                <w:bCs/>
                <w:color w:val="FFFFFF"/>
                <w:sz w:val="19"/>
                <w:szCs w:val="19"/>
              </w:rPr>
              <w:t xml:space="preserve">Acc.</w:t>
            </w:r>
          </w:p>
        </w:tc>
      </w:tr>
      <w:tr>
        <w:tc>
          <w:tcPr>
            <w:tcW w:type="dxa" w:w="2360"/>
            <w:shd w:fill="FFFFFF" w:val="clear"/>
          </w:tcPr>
          <w:p>
            <w:pPr>
              <w:jc w:val="left"/>
            </w:pPr>
            <w:r>
              <w:rPr>
                <w:b/>
                <w:bCs/>
                <w:sz w:val="19"/>
                <w:szCs w:val="19"/>
              </w:rPr>
              <w:t xml:space="preserve">v1 (BIO, 9 clases)</w:t>
            </w:r>
          </w:p>
        </w:tc>
        <w:tc>
          <w:tcPr>
            <w:tcW w:type="dxa" w:w="1400"/>
            <w:shd w:fill="FFFFFF" w:val="clear"/>
          </w:tcPr>
          <w:p>
            <w:pPr>
              <w:jc w:val="center"/>
            </w:pPr>
            <w:r>
              <w:rPr>
                <w:b w:val="false"/>
                <w:bCs w:val="false"/>
                <w:sz w:val="19"/>
                <w:szCs w:val="19"/>
              </w:rPr>
              <w:t xml:space="preserve">0.27</w:t>
            </w:r>
          </w:p>
        </w:tc>
        <w:tc>
          <w:tcPr>
            <w:tcW w:type="dxa" w:w="1200"/>
            <w:shd w:fill="FFFFFF" w:val="clear"/>
          </w:tcPr>
          <w:p>
            <w:pPr>
              <w:jc w:val="center"/>
            </w:pPr>
            <w:r>
              <w:rPr>
                <w:b w:val="false"/>
                <w:bCs w:val="false"/>
                <w:sz w:val="19"/>
                <w:szCs w:val="19"/>
              </w:rPr>
              <w:t xml:space="preserve">0.71</w:t>
            </w:r>
          </w:p>
        </w:tc>
        <w:tc>
          <w:tcPr>
            <w:tcW w:type="dxa" w:w="1200"/>
            <w:shd w:fill="FFFFFF" w:val="clear"/>
          </w:tcPr>
          <w:p>
            <w:pPr>
              <w:jc w:val="center"/>
            </w:pPr>
            <w:r>
              <w:rPr>
                <w:b w:val="false"/>
                <w:bCs w:val="false"/>
                <w:sz w:val="19"/>
                <w:szCs w:val="19"/>
              </w:rPr>
              <w:t xml:space="preserve">0.47</w:t>
            </w:r>
          </w:p>
        </w:tc>
        <w:tc>
          <w:tcPr>
            <w:tcW w:type="dxa" w:w="1200"/>
            <w:shd w:fill="FFFFFF" w:val="clear"/>
          </w:tcPr>
          <w:p>
            <w:pPr>
              <w:jc w:val="center"/>
            </w:pPr>
            <w:r>
              <w:rPr>
                <w:b w:val="false"/>
                <w:bCs w:val="false"/>
                <w:sz w:val="19"/>
                <w:szCs w:val="19"/>
              </w:rPr>
              <w:t xml:space="preserve">0.48</w:t>
            </w:r>
          </w:p>
        </w:tc>
        <w:tc>
          <w:tcPr>
            <w:tcW w:type="dxa" w:w="1200"/>
            <w:shd w:fill="FFFFFF" w:val="clear"/>
          </w:tcPr>
          <w:p>
            <w:pPr>
              <w:jc w:val="center"/>
            </w:pPr>
            <w:r>
              <w:rPr>
                <w:b w:val="false"/>
                <w:bCs w:val="false"/>
                <w:sz w:val="19"/>
                <w:szCs w:val="19"/>
              </w:rPr>
              <w:t xml:space="preserve">0.04</w:t>
            </w:r>
          </w:p>
        </w:tc>
        <w:tc>
          <w:tcPr>
            <w:tcW w:type="dxa" w:w="800"/>
            <w:shd w:fill="FFFFFF" w:val="clear"/>
          </w:tcPr>
          <w:p>
            <w:pPr>
              <w:jc w:val="center"/>
            </w:pPr>
            <w:r>
              <w:rPr>
                <w:b w:val="false"/>
                <w:bCs w:val="false"/>
                <w:sz w:val="19"/>
                <w:szCs w:val="19"/>
              </w:rPr>
              <w:t xml:space="preserve">0.68</w:t>
            </w:r>
          </w:p>
        </w:tc>
      </w:tr>
      <w:tr>
        <w:tc>
          <w:tcPr>
            <w:tcW w:type="dxa" w:w="2360"/>
            <w:shd w:fill="F2F2F2" w:val="clear"/>
          </w:tcPr>
          <w:p>
            <w:pPr>
              <w:jc w:val="left"/>
            </w:pPr>
            <w:r>
              <w:rPr>
                <w:b/>
                <w:bCs/>
                <w:sz w:val="19"/>
                <w:szCs w:val="19"/>
              </w:rPr>
              <w:t xml:space="preserve">v2 (IO, 5 clases)</w:t>
            </w:r>
          </w:p>
        </w:tc>
        <w:tc>
          <w:tcPr>
            <w:tcW w:type="dxa" w:w="1400"/>
            <w:shd w:fill="F2F2F2" w:val="clear"/>
          </w:tcPr>
          <w:p>
            <w:pPr>
              <w:jc w:val="center"/>
            </w:pPr>
            <w:r>
              <w:rPr>
                <w:b w:val="false"/>
                <w:bCs w:val="false"/>
                <w:sz w:val="19"/>
                <w:szCs w:val="19"/>
              </w:rPr>
              <w:t xml:space="preserve">0.58</w:t>
            </w:r>
          </w:p>
        </w:tc>
        <w:tc>
          <w:tcPr>
            <w:tcW w:type="dxa" w:w="1200"/>
            <w:shd w:fill="F2F2F2" w:val="clear"/>
          </w:tcPr>
          <w:p>
            <w:pPr>
              <w:jc w:val="center"/>
            </w:pPr>
            <w:r>
              <w:rPr>
                <w:b w:val="false"/>
                <w:bCs w:val="false"/>
                <w:sz w:val="19"/>
                <w:szCs w:val="19"/>
              </w:rPr>
              <w:t xml:space="preserve">0.77</w:t>
            </w:r>
          </w:p>
        </w:tc>
        <w:tc>
          <w:tcPr>
            <w:tcW w:type="dxa" w:w="1200"/>
            <w:shd w:fill="F2F2F2" w:val="clear"/>
          </w:tcPr>
          <w:p>
            <w:pPr>
              <w:jc w:val="center"/>
            </w:pPr>
            <w:r>
              <w:rPr>
                <w:b w:val="false"/>
                <w:bCs w:val="false"/>
                <w:sz w:val="19"/>
                <w:szCs w:val="19"/>
              </w:rPr>
              <w:t xml:space="preserve">0.52</w:t>
            </w:r>
          </w:p>
        </w:tc>
        <w:tc>
          <w:tcPr>
            <w:tcW w:type="dxa" w:w="1200"/>
            <w:shd w:fill="F2F2F2" w:val="clear"/>
          </w:tcPr>
          <w:p>
            <w:pPr>
              <w:jc w:val="center"/>
            </w:pPr>
            <w:r>
              <w:rPr>
                <w:b w:val="false"/>
                <w:bCs w:val="false"/>
                <w:sz w:val="19"/>
                <w:szCs w:val="19"/>
              </w:rPr>
              <w:t xml:space="preserve">0.52</w:t>
            </w:r>
          </w:p>
        </w:tc>
        <w:tc>
          <w:tcPr>
            <w:tcW w:type="dxa" w:w="1200"/>
            <w:shd w:fill="F2F2F2" w:val="clear"/>
          </w:tcPr>
          <w:p>
            <w:pPr>
              <w:jc w:val="center"/>
            </w:pPr>
            <w:r>
              <w:rPr>
                <w:b w:val="false"/>
                <w:bCs w:val="false"/>
                <w:sz w:val="19"/>
                <w:szCs w:val="19"/>
              </w:rPr>
              <w:t xml:space="preserve">0.32</w:t>
            </w:r>
          </w:p>
        </w:tc>
        <w:tc>
          <w:tcPr>
            <w:tcW w:type="dxa" w:w="800"/>
            <w:shd w:fill="F2F2F2" w:val="clear"/>
          </w:tcPr>
          <w:p>
            <w:pPr>
              <w:jc w:val="center"/>
            </w:pPr>
            <w:r>
              <w:rPr>
                <w:b w:val="false"/>
                <w:bCs w:val="false"/>
                <w:sz w:val="19"/>
                <w:szCs w:val="19"/>
              </w:rPr>
              <w:t xml:space="preserve">0.73</w:t>
            </w:r>
          </w:p>
        </w:tc>
      </w:tr>
      <w:tr>
        <w:tc>
          <w:tcPr>
            <w:tcW w:type="dxa" w:w="2360"/>
            <w:shd w:fill="FFFFFF" w:val="clear"/>
          </w:tcPr>
          <w:p>
            <w:pPr>
              <w:jc w:val="left"/>
            </w:pPr>
            <w:r>
              <w:rPr>
                <w:b/>
                <w:bCs/>
                <w:sz w:val="19"/>
                <w:szCs w:val="19"/>
              </w:rPr>
              <w:t xml:space="preserve">Δ (v2−v1)</w:t>
            </w:r>
          </w:p>
        </w:tc>
        <w:tc>
          <w:tcPr>
            <w:tcW w:type="dxa" w:w="1400"/>
            <w:shd w:fill="FFFFFF" w:val="clear"/>
          </w:tcPr>
          <w:p>
            <w:pPr>
              <w:jc w:val="center"/>
            </w:pPr>
            <w:r>
              <w:rPr>
                <w:b w:val="false"/>
                <w:bCs w:val="false"/>
                <w:sz w:val="19"/>
                <w:szCs w:val="19"/>
              </w:rPr>
              <w:t xml:space="preserve">+0.31</w:t>
            </w:r>
          </w:p>
        </w:tc>
        <w:tc>
          <w:tcPr>
            <w:tcW w:type="dxa" w:w="1200"/>
            <w:shd w:fill="FFFFFF" w:val="clear"/>
          </w:tcPr>
          <w:p>
            <w:pPr>
              <w:jc w:val="center"/>
            </w:pPr>
            <w:r>
              <w:rPr>
                <w:b w:val="false"/>
                <w:bCs w:val="false"/>
                <w:sz w:val="19"/>
                <w:szCs w:val="19"/>
              </w:rPr>
              <w:t xml:space="preserve">+0.06</w:t>
            </w:r>
          </w:p>
        </w:tc>
        <w:tc>
          <w:tcPr>
            <w:tcW w:type="dxa" w:w="1200"/>
            <w:shd w:fill="FFFFFF" w:val="clear"/>
          </w:tcPr>
          <w:p>
            <w:pPr>
              <w:jc w:val="center"/>
            </w:pPr>
            <w:r>
              <w:rPr>
                <w:b w:val="false"/>
                <w:bCs w:val="false"/>
                <w:sz w:val="19"/>
                <w:szCs w:val="19"/>
              </w:rPr>
              <w:t xml:space="preserve">+0.05</w:t>
            </w:r>
          </w:p>
        </w:tc>
        <w:tc>
          <w:tcPr>
            <w:tcW w:type="dxa" w:w="1200"/>
            <w:shd w:fill="FFFFFF" w:val="clear"/>
          </w:tcPr>
          <w:p>
            <w:pPr>
              <w:jc w:val="center"/>
            </w:pPr>
            <w:r>
              <w:rPr>
                <w:b w:val="false"/>
                <w:bCs w:val="false"/>
                <w:sz w:val="19"/>
                <w:szCs w:val="19"/>
              </w:rPr>
              <w:t xml:space="preserve">+0.04</w:t>
            </w:r>
          </w:p>
        </w:tc>
        <w:tc>
          <w:tcPr>
            <w:tcW w:type="dxa" w:w="1200"/>
            <w:shd w:fill="FFFFFF" w:val="clear"/>
          </w:tcPr>
          <w:p>
            <w:pPr>
              <w:jc w:val="center"/>
            </w:pPr>
            <w:r>
              <w:rPr>
                <w:b w:val="false"/>
                <w:bCs w:val="false"/>
                <w:sz w:val="19"/>
                <w:szCs w:val="19"/>
              </w:rPr>
              <w:t xml:space="preserve">+0.28</w:t>
            </w:r>
          </w:p>
        </w:tc>
        <w:tc>
          <w:tcPr>
            <w:tcW w:type="dxa" w:w="800"/>
            <w:shd w:fill="FFFFFF" w:val="clear"/>
          </w:tcPr>
          <w:p>
            <w:pPr>
              <w:jc w:val="center"/>
            </w:pPr>
            <w:r>
              <w:rPr>
                <w:b w:val="false"/>
                <w:bCs w:val="false"/>
                <w:sz w:val="19"/>
                <w:szCs w:val="19"/>
              </w:rPr>
              <w:t xml:space="preserve">+0.05</w:t>
            </w:r>
          </w:p>
        </w:tc>
      </w:tr>
    </w:tbl>
    <w:p>
      <w:pPr>
        <w:spacing w:after="120" w:line="276"/>
        <w:jc w:val="both"/>
      </w:pPr>
      <w:r>
        <w:rPr>
          <w:sz w:val="22"/>
          <w:szCs w:val="22"/>
        </w:rPr>
        <w:t xml:space="preserve">CFH-BERT v2 demuestra que el esquema IO con weighted loss supera significativamente al BIO simple con datos escasos: F1 macro pasa de 0.27 a 0.58 con las mismas 100 anotaciones. La mejora más notable es en NV (F1: 0.04 → 0.32), confirmando que el weighted loss compensa el desbalance extremo de clases cuando los pesos se calibran correctamente.</w:t>
      </w:r>
    </w:p>
    <w:p>
      <w:pPr>
        <w:pStyle w:val="Heading2"/>
        <w:spacing w:after="100" w:before="200"/>
      </w:pPr>
      <w:r>
        <w:rPr>
          <w:b/>
          <w:bCs/>
          <w:color w:val="1F3864"/>
          <w:sz w:val="26"/>
          <w:szCs w:val="26"/>
        </w:rPr>
        <w:t xml:space="preserve">5.6 Brecha discursiva — evidencia integrada A vs B</w:t>
      </w:r>
    </w:p>
    <w:p>
      <w:pPr>
        <w:spacing w:after="60" w:before="60"/>
      </w:pPr>
      <w:r>
        <w:rPr>
          <w:i/>
          <w:iCs/>
          <w:color w:val="595959"/>
          <w:sz w:val="19"/>
          <w:szCs w:val="19"/>
        </w:rPr>
        <w:t xml:space="preserve">Tabla 5.5. Evidencia integrada A vs B — indicadores CFH Capas 1 y 2 (Corpus B fortalecido, N_B=80, N_A=819). Mann-Whitney U bilateral. * p&lt;0.05  *** p&lt;0.001  n.s. no significativo.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560"/>
        <w:gridCol w:w="1400"/>
        <w:gridCol w:w="1800"/>
      </w:tblGrid>
      <w:tr>
        <w:trPr>
          <w:tblHeader/>
        </w:trPr>
        <w:tc>
          <w:tcPr>
            <w:tcW w:type="dxa" w:w="2200"/>
            <w:shd w:fill="1F3864" w:val="clear"/>
          </w:tcPr>
          <w:p>
            <w:pPr>
              <w:jc w:val="center"/>
            </w:pPr>
            <w:r>
              <w:rPr>
                <w:b/>
                <w:bCs/>
                <w:color w:val="FFFFFF"/>
                <w:sz w:val="19"/>
                <w:szCs w:val="19"/>
              </w:rPr>
              <w:t xml:space="preserve">Indicador</w:t>
            </w:r>
          </w:p>
        </w:tc>
        <w:tc>
          <w:tcPr>
            <w:tcW w:type="dxa" w:w="1200"/>
            <w:shd w:fill="1F3864" w:val="clear"/>
          </w:tcPr>
          <w:p>
            <w:pPr>
              <w:jc w:val="center"/>
            </w:pPr>
            <w:r>
              <w:rPr>
                <w:b/>
                <w:bCs/>
                <w:color w:val="FFFFFF"/>
                <w:sz w:val="19"/>
                <w:szCs w:val="19"/>
              </w:rPr>
              <w:t xml:space="preserve">A</w:t>
            </w:r>
          </w:p>
        </w:tc>
        <w:tc>
          <w:tcPr>
            <w:tcW w:type="dxa" w:w="1200"/>
            <w:shd w:fill="1F3864" w:val="clear"/>
          </w:tcPr>
          <w:p>
            <w:pPr>
              <w:jc w:val="center"/>
            </w:pPr>
            <w:r>
              <w:rPr>
                <w:b/>
                <w:bCs/>
                <w:color w:val="FFFFFF"/>
                <w:sz w:val="19"/>
                <w:szCs w:val="19"/>
              </w:rPr>
              <w:t xml:space="preserve">B</w:t>
            </w:r>
          </w:p>
        </w:tc>
        <w:tc>
          <w:tcPr>
            <w:tcW w:type="dxa" w:w="1560"/>
            <w:shd w:fill="1F3864" w:val="clear"/>
          </w:tcPr>
          <w:p>
            <w:pPr>
              <w:jc w:val="center"/>
            </w:pPr>
            <w:r>
              <w:rPr>
                <w:b/>
                <w:bCs/>
                <w:color w:val="FFFFFF"/>
                <w:sz w:val="19"/>
                <w:szCs w:val="19"/>
              </w:rPr>
              <w:t xml:space="preserve">p-valor</w:t>
            </w:r>
          </w:p>
        </w:tc>
        <w:tc>
          <w:tcPr>
            <w:tcW w:type="dxa" w:w="1400"/>
            <w:shd w:fill="1F3864" w:val="clear"/>
          </w:tcPr>
          <w:p>
            <w:pPr>
              <w:jc w:val="center"/>
            </w:pPr>
            <w:r>
              <w:rPr>
                <w:b/>
                <w:bCs/>
                <w:color w:val="FFFFFF"/>
                <w:sz w:val="19"/>
                <w:szCs w:val="19"/>
              </w:rPr>
              <w:t xml:space="preserve">Cohen's d</w:t>
            </w:r>
          </w:p>
        </w:tc>
        <w:tc>
          <w:tcPr>
            <w:tcW w:type="dxa" w:w="1800"/>
            <w:shd w:fill="1F3864" w:val="clear"/>
          </w:tcPr>
          <w:p>
            <w:pPr>
              <w:jc w:val="center"/>
            </w:pPr>
            <w:r>
              <w:rPr>
                <w:b/>
                <w:bCs/>
                <w:color w:val="FFFFFF"/>
                <w:sz w:val="19"/>
                <w:szCs w:val="19"/>
              </w:rPr>
              <w:t xml:space="preserve">Dirección</w:t>
            </w:r>
          </w:p>
        </w:tc>
      </w:tr>
      <w:tr>
        <w:tc>
          <w:tcPr>
            <w:tcW w:type="dxa" w:w="2200"/>
            <w:shd w:fill="FFFFFF" w:val="clear"/>
          </w:tcPr>
          <w:p>
            <w:pPr>
              <w:jc w:val="left"/>
            </w:pPr>
            <w:r>
              <w:rPr>
                <w:b/>
                <w:bCs/>
                <w:sz w:val="19"/>
                <w:szCs w:val="19"/>
              </w:rPr>
              <w:t xml:space="preserve">y₁ EBI</w:t>
            </w:r>
          </w:p>
        </w:tc>
        <w:tc>
          <w:tcPr>
            <w:tcW w:type="dxa" w:w="1200"/>
            <w:shd w:fill="FFFFFF" w:val="clear"/>
          </w:tcPr>
          <w:p>
            <w:pPr>
              <w:jc w:val="center"/>
            </w:pPr>
            <w:r>
              <w:rPr>
                <w:b w:val="false"/>
                <w:bCs w:val="false"/>
                <w:sz w:val="19"/>
                <w:szCs w:val="19"/>
              </w:rPr>
              <w:t xml:space="preserve">0.186</w:t>
            </w:r>
          </w:p>
        </w:tc>
        <w:tc>
          <w:tcPr>
            <w:tcW w:type="dxa" w:w="1200"/>
            <w:shd w:fill="FFFFFF" w:val="clear"/>
          </w:tcPr>
          <w:p>
            <w:pPr>
              <w:jc w:val="center"/>
            </w:pPr>
            <w:r>
              <w:rPr>
                <w:b w:val="false"/>
                <w:bCs w:val="false"/>
                <w:sz w:val="19"/>
                <w:szCs w:val="19"/>
              </w:rPr>
              <w:t xml:space="preserve">0.451</w:t>
            </w:r>
          </w:p>
        </w:tc>
        <w:tc>
          <w:tcPr>
            <w:tcW w:type="dxa" w:w="1560"/>
            <w:shd w:fill="FFFFFF" w:val="clear"/>
          </w:tcPr>
          <w:p>
            <w:pPr>
              <w:jc w:val="center"/>
            </w:pPr>
            <w:r>
              <w:rPr>
                <w:b w:val="false"/>
                <w:bCs w:val="false"/>
                <w:sz w:val="19"/>
                <w:szCs w:val="19"/>
              </w:rPr>
              <w:t xml:space="preserve">&lt;0.001 ***</w:t>
            </w:r>
          </w:p>
        </w:tc>
        <w:tc>
          <w:tcPr>
            <w:tcW w:type="dxa" w:w="1400"/>
            <w:shd w:fill="FFFFFF" w:val="clear"/>
          </w:tcPr>
          <w:p>
            <w:pPr>
              <w:jc w:val="center"/>
            </w:pPr>
            <w:r>
              <w:rPr>
                <w:b w:val="false"/>
                <w:bCs w:val="false"/>
                <w:sz w:val="19"/>
                <w:szCs w:val="19"/>
              </w:rPr>
              <w:t xml:space="preserve">−0.41</w:t>
            </w:r>
          </w:p>
        </w:tc>
        <w:tc>
          <w:tcPr>
            <w:tcW w:type="dxa" w:w="1800"/>
            <w:shd w:fill="FFFFFF" w:val="clear"/>
          </w:tcPr>
          <w:p>
            <w:pPr>
              <w:jc w:val="center"/>
            </w:pPr>
            <w:r>
              <w:rPr>
                <w:b w:val="false"/>
                <w:bCs w:val="false"/>
                <w:sz w:val="19"/>
                <w:szCs w:val="19"/>
              </w:rPr>
              <w:t xml:space="preserve">B &gt; A ✓</w:t>
            </w:r>
          </w:p>
        </w:tc>
      </w:tr>
      <w:tr>
        <w:tc>
          <w:tcPr>
            <w:tcW w:type="dxa" w:w="2200"/>
            <w:shd w:fill="F2F2F2" w:val="clear"/>
          </w:tcPr>
          <w:p>
            <w:pPr>
              <w:jc w:val="left"/>
            </w:pPr>
            <w:r>
              <w:rPr>
                <w:b/>
                <w:bCs/>
                <w:sz w:val="19"/>
                <w:szCs w:val="19"/>
              </w:rPr>
              <w:t xml:space="preserve">y₂ SA</w:t>
            </w:r>
          </w:p>
        </w:tc>
        <w:tc>
          <w:tcPr>
            <w:tcW w:type="dxa" w:w="1200"/>
            <w:shd w:fill="F2F2F2" w:val="clear"/>
          </w:tcPr>
          <w:p>
            <w:pPr>
              <w:jc w:val="center"/>
            </w:pPr>
            <w:r>
              <w:rPr>
                <w:b w:val="false"/>
                <w:bCs w:val="false"/>
                <w:sz w:val="19"/>
                <w:szCs w:val="19"/>
              </w:rPr>
              <w:t xml:space="preserve">0.885</w:t>
            </w:r>
          </w:p>
        </w:tc>
        <w:tc>
          <w:tcPr>
            <w:tcW w:type="dxa" w:w="1200"/>
            <w:shd w:fill="F2F2F2" w:val="clear"/>
          </w:tcPr>
          <w:p>
            <w:pPr>
              <w:jc w:val="center"/>
            </w:pPr>
            <w:r>
              <w:rPr>
                <w:b w:val="false"/>
                <w:bCs w:val="false"/>
                <w:sz w:val="19"/>
                <w:szCs w:val="19"/>
              </w:rPr>
              <w:t xml:space="preserve">0.873</w:t>
            </w:r>
          </w:p>
        </w:tc>
        <w:tc>
          <w:tcPr>
            <w:tcW w:type="dxa" w:w="1560"/>
            <w:shd w:fill="F2F2F2" w:val="clear"/>
          </w:tcPr>
          <w:p>
            <w:pPr>
              <w:jc w:val="center"/>
            </w:pPr>
            <w:r>
              <w:rPr>
                <w:b w:val="false"/>
                <w:bCs w:val="false"/>
                <w:sz w:val="19"/>
                <w:szCs w:val="19"/>
              </w:rPr>
              <w:t xml:space="preserve">0.944 n.s.</w:t>
            </w:r>
          </w:p>
        </w:tc>
        <w:tc>
          <w:tcPr>
            <w:tcW w:type="dxa" w:w="1400"/>
            <w:shd w:fill="F2F2F2" w:val="clear"/>
          </w:tcPr>
          <w:p>
            <w:pPr>
              <w:jc w:val="center"/>
            </w:pPr>
            <w:r>
              <w:rPr>
                <w:b w:val="false"/>
                <w:bCs w:val="false"/>
                <w:sz w:val="19"/>
                <w:szCs w:val="19"/>
              </w:rPr>
              <w:t xml:space="preserve">+0.05</w:t>
            </w:r>
          </w:p>
        </w:tc>
        <w:tc>
          <w:tcPr>
            <w:tcW w:type="dxa" w:w="1800"/>
            <w:shd w:fill="F2F2F2" w:val="clear"/>
          </w:tcPr>
          <w:p>
            <w:pPr>
              <w:jc w:val="center"/>
            </w:pPr>
            <w:r>
              <w:rPr>
                <w:b w:val="false"/>
                <w:bCs w:val="false"/>
                <w:sz w:val="19"/>
                <w:szCs w:val="19"/>
              </w:rPr>
              <w:t xml:space="preserve">transversal</w:t>
            </w:r>
          </w:p>
        </w:tc>
      </w:tr>
      <w:tr>
        <w:tc>
          <w:tcPr>
            <w:tcW w:type="dxa" w:w="2200"/>
            <w:shd w:fill="FFFFFF" w:val="clear"/>
          </w:tcPr>
          <w:p>
            <w:pPr>
              <w:jc w:val="left"/>
            </w:pPr>
            <w:r>
              <w:rPr>
                <w:b/>
                <w:bCs/>
                <w:sz w:val="19"/>
                <w:szCs w:val="19"/>
              </w:rPr>
              <w:t xml:space="preserve">y₄ NV</w:t>
            </w:r>
          </w:p>
        </w:tc>
        <w:tc>
          <w:tcPr>
            <w:tcW w:type="dxa" w:w="1200"/>
            <w:shd w:fill="FFFFFF" w:val="clear"/>
          </w:tcPr>
          <w:p>
            <w:pPr>
              <w:jc w:val="center"/>
            </w:pPr>
            <w:r>
              <w:rPr>
                <w:b w:val="false"/>
                <w:bCs w:val="false"/>
                <w:sz w:val="19"/>
                <w:szCs w:val="19"/>
              </w:rPr>
              <w:t xml:space="preserve">0.239</w:t>
            </w:r>
          </w:p>
        </w:tc>
        <w:tc>
          <w:tcPr>
            <w:tcW w:type="dxa" w:w="1200"/>
            <w:shd w:fill="FFFFFF" w:val="clear"/>
          </w:tcPr>
          <w:p>
            <w:pPr>
              <w:jc w:val="center"/>
            </w:pPr>
            <w:r>
              <w:rPr>
                <w:b w:val="false"/>
                <w:bCs w:val="false"/>
                <w:sz w:val="19"/>
                <w:szCs w:val="19"/>
              </w:rPr>
              <w:t xml:space="preserve">0.236</w:t>
            </w:r>
          </w:p>
        </w:tc>
        <w:tc>
          <w:tcPr>
            <w:tcW w:type="dxa" w:w="1560"/>
            <w:shd w:fill="FFFFFF" w:val="clear"/>
          </w:tcPr>
          <w:p>
            <w:pPr>
              <w:jc w:val="center"/>
            </w:pPr>
            <w:r>
              <w:rPr>
                <w:b w:val="false"/>
                <w:bCs w:val="false"/>
                <w:sz w:val="19"/>
                <w:szCs w:val="19"/>
              </w:rPr>
              <w:t xml:space="preserve">0.024 *</w:t>
            </w:r>
          </w:p>
        </w:tc>
        <w:tc>
          <w:tcPr>
            <w:tcW w:type="dxa" w:w="1400"/>
            <w:shd w:fill="FFFFFF" w:val="clear"/>
          </w:tcPr>
          <w:p>
            <w:pPr>
              <w:jc w:val="center"/>
            </w:pPr>
            <w:r>
              <w:rPr>
                <w:b w:val="false"/>
                <w:bCs w:val="false"/>
                <w:sz w:val="19"/>
                <w:szCs w:val="19"/>
              </w:rPr>
              <w:t xml:space="preserve">+0.01</w:t>
            </w:r>
          </w:p>
        </w:tc>
        <w:tc>
          <w:tcPr>
            <w:tcW w:type="dxa" w:w="1800"/>
            <w:shd w:fill="FFFFFF" w:val="clear"/>
          </w:tcPr>
          <w:p>
            <w:pPr>
              <w:jc w:val="center"/>
            </w:pPr>
            <w:r>
              <w:rPr>
                <w:b w:val="false"/>
                <w:bCs w:val="false"/>
                <w:sz w:val="19"/>
                <w:szCs w:val="19"/>
              </w:rPr>
              <w:t xml:space="preserve">efecto trivial</w:t>
            </w:r>
          </w:p>
        </w:tc>
      </w:tr>
      <w:tr>
        <w:tc>
          <w:tcPr>
            <w:tcW w:type="dxa" w:w="2200"/>
            <w:shd w:fill="F2F2F2" w:val="clear"/>
          </w:tcPr>
          <w:p>
            <w:pPr>
              <w:jc w:val="left"/>
            </w:pPr>
            <w:r>
              <w:rPr>
                <w:b/>
                <w:bCs/>
                <w:sz w:val="19"/>
                <w:szCs w:val="19"/>
              </w:rPr>
              <w:t xml:space="preserve">y₈ Dist. MAFAPO</w:t>
            </w:r>
          </w:p>
        </w:tc>
        <w:tc>
          <w:tcPr>
            <w:tcW w:type="dxa" w:w="1200"/>
            <w:shd w:fill="F2F2F2" w:val="clear"/>
          </w:tcPr>
          <w:p>
            <w:pPr>
              <w:jc w:val="center"/>
            </w:pPr>
            <w:r>
              <w:rPr>
                <w:b w:val="false"/>
                <w:bCs w:val="false"/>
                <w:sz w:val="19"/>
                <w:szCs w:val="19"/>
              </w:rPr>
              <w:t xml:space="preserve">0.211</w:t>
            </w:r>
          </w:p>
        </w:tc>
        <w:tc>
          <w:tcPr>
            <w:tcW w:type="dxa" w:w="1200"/>
            <w:shd w:fill="F2F2F2" w:val="clear"/>
          </w:tcPr>
          <w:p>
            <w:pPr>
              <w:jc w:val="center"/>
            </w:pPr>
            <w:r>
              <w:rPr>
                <w:b w:val="false"/>
                <w:bCs w:val="false"/>
                <w:sz w:val="19"/>
                <w:szCs w:val="19"/>
              </w:rPr>
              <w:t xml:space="preserve">0.155</w:t>
            </w:r>
          </w:p>
        </w:tc>
        <w:tc>
          <w:tcPr>
            <w:tcW w:type="dxa" w:w="1560"/>
            <w:shd w:fill="F2F2F2" w:val="clear"/>
          </w:tcPr>
          <w:p>
            <w:pPr>
              <w:jc w:val="center"/>
            </w:pPr>
            <w:r>
              <w:rPr>
                <w:b w:val="false"/>
                <w:bCs w:val="false"/>
                <w:sz w:val="19"/>
                <w:szCs w:val="19"/>
              </w:rPr>
              <w:t xml:space="preserve">&lt;0.001 ***</w:t>
            </w:r>
          </w:p>
        </w:tc>
        <w:tc>
          <w:tcPr>
            <w:tcW w:type="dxa" w:w="1400"/>
            <w:shd w:fill="F2F2F2" w:val="clear"/>
          </w:tcPr>
          <w:p>
            <w:pPr>
              <w:jc w:val="center"/>
            </w:pPr>
            <w:r>
              <w:rPr>
                <w:b w:val="false"/>
                <w:bCs w:val="false"/>
                <w:sz w:val="19"/>
                <w:szCs w:val="19"/>
              </w:rPr>
              <w:t xml:space="preserve">+1.39</w:t>
            </w:r>
          </w:p>
        </w:tc>
        <w:tc>
          <w:tcPr>
            <w:tcW w:type="dxa" w:w="1800"/>
            <w:shd w:fill="F2F2F2" w:val="clear"/>
          </w:tcPr>
          <w:p>
            <w:pPr>
              <w:jc w:val="center"/>
            </w:pPr>
            <w:r>
              <w:rPr>
                <w:b w:val="false"/>
                <w:bCs w:val="false"/>
                <w:sz w:val="19"/>
                <w:szCs w:val="19"/>
              </w:rPr>
              <w:t xml:space="preserve">B &lt; A ✓✓</w:t>
            </w:r>
          </w:p>
        </w:tc>
      </w:tr>
      <w:tr>
        <w:tc>
          <w:tcPr>
            <w:tcW w:type="dxa" w:w="2200"/>
            <w:shd w:fill="FFFFFF" w:val="clear"/>
          </w:tcPr>
          <w:p>
            <w:pPr>
              <w:jc w:val="left"/>
            </w:pPr>
            <w:r>
              <w:rPr>
                <w:b/>
                <w:bCs/>
                <w:sz w:val="19"/>
                <w:szCs w:val="19"/>
              </w:rPr>
              <w:t xml:space="preserve">y₉ Dist. CIDH</w:t>
            </w:r>
          </w:p>
        </w:tc>
        <w:tc>
          <w:tcPr>
            <w:tcW w:type="dxa" w:w="1200"/>
            <w:shd w:fill="FFFFFF" w:val="clear"/>
          </w:tcPr>
          <w:p>
            <w:pPr>
              <w:jc w:val="center"/>
            </w:pPr>
            <w:r>
              <w:rPr>
                <w:b w:val="false"/>
                <w:bCs w:val="false"/>
                <w:sz w:val="19"/>
                <w:szCs w:val="19"/>
              </w:rPr>
              <w:t xml:space="preserve">0.254</w:t>
            </w:r>
          </w:p>
        </w:tc>
        <w:tc>
          <w:tcPr>
            <w:tcW w:type="dxa" w:w="1200"/>
            <w:shd w:fill="FFFFFF" w:val="clear"/>
          </w:tcPr>
          <w:p>
            <w:pPr>
              <w:jc w:val="center"/>
            </w:pPr>
            <w:r>
              <w:rPr>
                <w:b w:val="false"/>
                <w:bCs w:val="false"/>
                <w:sz w:val="19"/>
                <w:szCs w:val="19"/>
              </w:rPr>
              <w:t xml:space="preserve">0.217</w:t>
            </w:r>
          </w:p>
        </w:tc>
        <w:tc>
          <w:tcPr>
            <w:tcW w:type="dxa" w:w="1560"/>
            <w:shd w:fill="FFFFFF" w:val="clear"/>
          </w:tcPr>
          <w:p>
            <w:pPr>
              <w:jc w:val="center"/>
            </w:pPr>
            <w:r>
              <w:rPr>
                <w:b w:val="false"/>
                <w:bCs w:val="false"/>
                <w:sz w:val="19"/>
                <w:szCs w:val="19"/>
              </w:rPr>
              <w:t xml:space="preserve">&lt;0.001 ***</w:t>
            </w:r>
          </w:p>
        </w:tc>
        <w:tc>
          <w:tcPr>
            <w:tcW w:type="dxa" w:w="1400"/>
            <w:shd w:fill="FFFFFF" w:val="clear"/>
          </w:tcPr>
          <w:p>
            <w:pPr>
              <w:jc w:val="center"/>
            </w:pPr>
            <w:r>
              <w:rPr>
                <w:b w:val="false"/>
                <w:bCs w:val="false"/>
                <w:sz w:val="19"/>
                <w:szCs w:val="19"/>
              </w:rPr>
              <w:t xml:space="preserve">+0.95</w:t>
            </w:r>
          </w:p>
        </w:tc>
        <w:tc>
          <w:tcPr>
            <w:tcW w:type="dxa" w:w="1800"/>
            <w:shd w:fill="FFFFFF" w:val="clear"/>
          </w:tcPr>
          <w:p>
            <w:pPr>
              <w:jc w:val="center"/>
            </w:pPr>
            <w:r>
              <w:rPr>
                <w:b w:val="false"/>
                <w:bCs w:val="false"/>
                <w:sz w:val="19"/>
                <w:szCs w:val="19"/>
              </w:rPr>
              <w:t xml:space="preserve">B &lt; A ✓</w:t>
            </w:r>
          </w:p>
        </w:tc>
      </w:tr>
      <w:tr>
        <w:tc>
          <w:tcPr>
            <w:tcW w:type="dxa" w:w="2200"/>
            <w:shd w:fill="F2F2F2" w:val="clear"/>
          </w:tcPr>
          <w:p>
            <w:pPr>
              <w:jc w:val="left"/>
            </w:pPr>
            <w:r>
              <w:rPr>
                <w:b/>
                <w:bCs/>
                <w:sz w:val="19"/>
                <w:szCs w:val="19"/>
              </w:rPr>
              <w:t xml:space="preserve">y₁₀ REP</w:t>
            </w:r>
          </w:p>
        </w:tc>
        <w:tc>
          <w:tcPr>
            <w:tcW w:type="dxa" w:w="1200"/>
            <w:shd w:fill="F2F2F2" w:val="clear"/>
          </w:tcPr>
          <w:p>
            <w:pPr>
              <w:jc w:val="center"/>
            </w:pPr>
            <w:r>
              <w:rPr>
                <w:b w:val="false"/>
                <w:bCs w:val="false"/>
                <w:sz w:val="19"/>
                <w:szCs w:val="19"/>
              </w:rPr>
              <w:t xml:space="preserve">0.133</w:t>
            </w:r>
          </w:p>
        </w:tc>
        <w:tc>
          <w:tcPr>
            <w:tcW w:type="dxa" w:w="1200"/>
            <w:shd w:fill="F2F2F2" w:val="clear"/>
          </w:tcPr>
          <w:p>
            <w:pPr>
              <w:jc w:val="center"/>
            </w:pPr>
            <w:r>
              <w:rPr>
                <w:b w:val="false"/>
                <w:bCs w:val="false"/>
                <w:sz w:val="19"/>
                <w:szCs w:val="19"/>
              </w:rPr>
              <w:t xml:space="preserve">0.282</w:t>
            </w:r>
          </w:p>
        </w:tc>
        <w:tc>
          <w:tcPr>
            <w:tcW w:type="dxa" w:w="1560"/>
            <w:shd w:fill="F2F2F2" w:val="clear"/>
          </w:tcPr>
          <w:p>
            <w:pPr>
              <w:jc w:val="center"/>
            </w:pPr>
            <w:r>
              <w:rPr>
                <w:b w:val="false"/>
                <w:bCs w:val="false"/>
                <w:sz w:val="19"/>
                <w:szCs w:val="19"/>
              </w:rPr>
              <w:t xml:space="preserve">&lt;0.001 ***</w:t>
            </w:r>
          </w:p>
        </w:tc>
        <w:tc>
          <w:tcPr>
            <w:tcW w:type="dxa" w:w="1400"/>
            <w:shd w:fill="F2F2F2" w:val="clear"/>
          </w:tcPr>
          <w:p>
            <w:pPr>
              <w:jc w:val="center"/>
            </w:pPr>
            <w:r>
              <w:rPr>
                <w:b w:val="false"/>
                <w:bCs w:val="false"/>
                <w:sz w:val="19"/>
                <w:szCs w:val="19"/>
              </w:rPr>
              <w:t xml:space="preserve">−0.61</w:t>
            </w:r>
          </w:p>
        </w:tc>
        <w:tc>
          <w:tcPr>
            <w:tcW w:type="dxa" w:w="1800"/>
            <w:shd w:fill="F2F2F2" w:val="clear"/>
          </w:tcPr>
          <w:p>
            <w:pPr>
              <w:jc w:val="center"/>
            </w:pPr>
            <w:r>
              <w:rPr>
                <w:b w:val="false"/>
                <w:bCs w:val="false"/>
                <w:sz w:val="19"/>
                <w:szCs w:val="19"/>
              </w:rPr>
              <w:t xml:space="preserve">B &gt; A ✓</w:t>
            </w:r>
          </w:p>
        </w:tc>
      </w:tr>
    </w:tbl>
    <w:p>
      <w:pPr>
        <w:spacing w:after="120" w:line="276"/>
        <w:jc w:val="both"/>
      </w:pPr>
      <w:r>
        <w:rPr>
          <w:sz w:val="22"/>
          <w:szCs w:val="22"/>
        </w:rPr>
        <w:t xml:space="preserve">El tamaño de efecto (Cohen's d), calculado sobre el Corpus B canónico (N_B=80, N_A=819), precisa la naturaleza de la brecha discursiva. Los indicadores semánticos y de reconocimiento presentan los efectos más sustantivos: la distancia MAFAPO (y₈, d=1.39) es el discriminante más fuerte, seguida de la distancia CIDH (y₉, d=0.95) y la Ruptura Epistémica Positiva (y₁₀, d=0.61). El EBI discrimina en dirección inversa (d=−0.41) por su carácter citativo. En contraste, la Supresión de Agentividad (y₂, d=0.05, p=0.944 n.s.) es transversal al género jurídico, y la Negación de Victimización (y₄, d=0.01) presenta un efecto trivial pese a su significancia nominal. La transición discursiva se manifiesta, por tanto, en la cercanía semántica al lenguaje de las víctimas y en el reconocimiento, no en los mecanismos gramaticales de encubrimiento.</w:t>
      </w:r>
    </w:p>
    <w:p>
      <w:pPr>
        <w:pStyle w:val="Heading2"/>
        <w:spacing w:after="100" w:before="200"/>
      </w:pPr>
      <w:r>
        <w:rPr>
          <w:b/>
          <w:bCs/>
          <w:color w:val="1F3864"/>
          <w:sz w:val="26"/>
          <w:szCs w:val="26"/>
        </w:rPr>
        <w:t xml:space="preserve">5.7 Control temporal y análisis de senderos</w:t>
      </w:r>
    </w:p>
    <w:p>
      <w:pPr>
        <w:pStyle w:val="Heading3"/>
        <w:spacing w:after="80" w:before="160"/>
      </w:pPr>
      <w:r>
        <w:rPr>
          <w:b/>
          <w:bCs/>
          <w:color w:val="1F3864"/>
          <w:sz w:val="23"/>
          <w:szCs w:val="23"/>
        </w:rPr>
        <w:t xml:space="preserve">5.7.1 Control temporal</w:t>
      </w:r>
    </w:p>
    <w:p>
      <w:pPr>
        <w:spacing w:after="60" w:before="60"/>
      </w:pPr>
      <w:r>
        <w:rPr>
          <w:i/>
          <w:iCs/>
          <w:color w:val="595959"/>
          <w:sz w:val="19"/>
          <w:szCs w:val="19"/>
        </w:rPr>
        <w:t xml:space="preserve">Tabla 5.6. Control temporal — Corpus A restringido al período 2018-2023 vs Corpus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500"/>
        <w:gridCol w:w="1560"/>
        <w:gridCol w:w="2200"/>
      </w:tblGrid>
      <w:tr>
        <w:trPr>
          <w:tblHeader/>
        </w:trPr>
        <w:tc>
          <w:tcPr>
            <w:tcW w:type="dxa" w:w="2200"/>
            <w:shd w:fill="1F3864" w:val="clear"/>
          </w:tcPr>
          <w:p>
            <w:pPr>
              <w:jc w:val="center"/>
            </w:pPr>
            <w:r>
              <w:rPr>
                <w:b/>
                <w:bCs/>
                <w:color w:val="FFFFFF"/>
                <w:sz w:val="19"/>
                <w:szCs w:val="19"/>
              </w:rPr>
              <w:t xml:space="preserve">Indicador</w:t>
            </w:r>
          </w:p>
        </w:tc>
        <w:tc>
          <w:tcPr>
            <w:tcW w:type="dxa" w:w="1900"/>
            <w:shd w:fill="1F3864" w:val="clear"/>
          </w:tcPr>
          <w:p>
            <w:pPr>
              <w:jc w:val="center"/>
            </w:pPr>
            <w:r>
              <w:rPr>
                <w:b/>
                <w:bCs/>
                <w:color w:val="FFFFFF"/>
                <w:sz w:val="19"/>
                <w:szCs w:val="19"/>
              </w:rPr>
              <w:t xml:space="preserve">A 2018-2023</w:t>
            </w:r>
          </w:p>
        </w:tc>
        <w:tc>
          <w:tcPr>
            <w:tcW w:type="dxa" w:w="1500"/>
            <w:shd w:fill="1F3864" w:val="clear"/>
          </w:tcPr>
          <w:p>
            <w:pPr>
              <w:jc w:val="center"/>
            </w:pPr>
            <w:r>
              <w:rPr>
                <w:b/>
                <w:bCs/>
                <w:color w:val="FFFFFF"/>
                <w:sz w:val="19"/>
                <w:szCs w:val="19"/>
              </w:rPr>
              <w:t xml:space="preserve">Corpus B</w:t>
            </w:r>
          </w:p>
        </w:tc>
        <w:tc>
          <w:tcPr>
            <w:tcW w:type="dxa" w:w="1560"/>
            <w:shd w:fill="1F3864" w:val="clear"/>
          </w:tcPr>
          <w:p>
            <w:pPr>
              <w:jc w:val="center"/>
            </w:pPr>
            <w:r>
              <w:rPr>
                <w:b/>
                <w:bCs/>
                <w:color w:val="FFFFFF"/>
                <w:sz w:val="19"/>
                <w:szCs w:val="19"/>
              </w:rPr>
              <w:t xml:space="preserve">p-valor</w:t>
            </w:r>
          </w:p>
        </w:tc>
        <w:tc>
          <w:tcPr>
            <w:tcW w:type="dxa" w:w="2200"/>
            <w:shd w:fill="1F3864" w:val="clear"/>
          </w:tcPr>
          <w:p>
            <w:pPr>
              <w:jc w:val="center"/>
            </w:pPr>
            <w:r>
              <w:rPr>
                <w:b/>
                <w:bCs/>
                <w:color w:val="FFFFFF"/>
                <w:sz w:val="19"/>
                <w:szCs w:val="19"/>
              </w:rPr>
              <w:t xml:space="preserve">Interpretación</w:t>
            </w:r>
          </w:p>
        </w:tc>
      </w:tr>
      <w:tr>
        <w:tc>
          <w:tcPr>
            <w:tcW w:type="dxa" w:w="2200"/>
            <w:shd w:fill="FFFFFF" w:val="clear"/>
          </w:tcPr>
          <w:p>
            <w:pPr>
              <w:jc w:val="left"/>
            </w:pPr>
            <w:r>
              <w:rPr>
                <w:b/>
                <w:bCs/>
                <w:sz w:val="19"/>
                <w:szCs w:val="19"/>
              </w:rPr>
              <w:t xml:space="preserve">y₁₀ REP</w:t>
            </w:r>
          </w:p>
        </w:tc>
        <w:tc>
          <w:tcPr>
            <w:tcW w:type="dxa" w:w="1900"/>
            <w:shd w:fill="FFFFFF" w:val="clear"/>
          </w:tcPr>
          <w:p>
            <w:pPr>
              <w:jc w:val="center"/>
            </w:pPr>
            <w:r>
              <w:rPr>
                <w:b w:val="false"/>
                <w:bCs w:val="false"/>
                <w:sz w:val="19"/>
                <w:szCs w:val="19"/>
              </w:rPr>
              <w:t xml:space="preserve">0.147</w:t>
            </w:r>
          </w:p>
        </w:tc>
        <w:tc>
          <w:tcPr>
            <w:tcW w:type="dxa" w:w="1500"/>
            <w:shd w:fill="FFFFFF" w:val="clear"/>
          </w:tcPr>
          <w:p>
            <w:pPr>
              <w:jc w:val="center"/>
            </w:pPr>
            <w:r>
              <w:rPr>
                <w:b w:val="false"/>
                <w:bCs w:val="false"/>
                <w:sz w:val="19"/>
                <w:szCs w:val="19"/>
              </w:rPr>
              <w:t xml:space="preserve">0.282</w:t>
            </w:r>
          </w:p>
        </w:tc>
        <w:tc>
          <w:tcPr>
            <w:tcW w:type="dxa" w:w="1560"/>
            <w:shd w:fill="FFFFFF" w:val="clear"/>
          </w:tcPr>
          <w:p>
            <w:pPr>
              <w:jc w:val="center"/>
            </w:pPr>
            <w:r>
              <w:rPr>
                <w:b w:val="false"/>
                <w:bCs w:val="false"/>
                <w:sz w:val="19"/>
                <w:szCs w:val="19"/>
              </w:rPr>
              <w:t xml:space="preserve">&lt;0.001 ***</w:t>
            </w:r>
          </w:p>
        </w:tc>
        <w:tc>
          <w:tcPr>
            <w:tcW w:type="dxa" w:w="2200"/>
            <w:shd w:fill="FFFFFF" w:val="clear"/>
          </w:tcPr>
          <w:p>
            <w:pPr>
              <w:jc w:val="center"/>
            </w:pPr>
            <w:r>
              <w:rPr>
                <w:b w:val="false"/>
                <w:bCs w:val="false"/>
                <w:sz w:val="19"/>
                <w:szCs w:val="19"/>
              </w:rPr>
              <w:t xml:space="preserve">Brecha estructural ✓</w:t>
            </w:r>
          </w:p>
        </w:tc>
      </w:tr>
      <w:tr>
        <w:tc>
          <w:tcPr>
            <w:tcW w:type="dxa" w:w="2200"/>
            <w:shd w:fill="F2F2F2" w:val="clear"/>
          </w:tcPr>
          <w:p>
            <w:pPr>
              <w:jc w:val="left"/>
            </w:pPr>
            <w:r>
              <w:rPr>
                <w:b/>
                <w:bCs/>
                <w:sz w:val="19"/>
                <w:szCs w:val="19"/>
              </w:rPr>
              <w:t xml:space="preserve">y₈ Dist. MAFAPO</w:t>
            </w:r>
          </w:p>
        </w:tc>
        <w:tc>
          <w:tcPr>
            <w:tcW w:type="dxa" w:w="1900"/>
            <w:shd w:fill="F2F2F2" w:val="clear"/>
          </w:tcPr>
          <w:p>
            <w:pPr>
              <w:jc w:val="center"/>
            </w:pPr>
            <w:r>
              <w:rPr>
                <w:b w:val="false"/>
                <w:bCs w:val="false"/>
                <w:sz w:val="19"/>
                <w:szCs w:val="19"/>
              </w:rPr>
              <w:t xml:space="preserve">0.217</w:t>
            </w:r>
          </w:p>
        </w:tc>
        <w:tc>
          <w:tcPr>
            <w:tcW w:type="dxa" w:w="1500"/>
            <w:shd w:fill="F2F2F2" w:val="clear"/>
          </w:tcPr>
          <w:p>
            <w:pPr>
              <w:jc w:val="center"/>
            </w:pPr>
            <w:r>
              <w:rPr>
                <w:b w:val="false"/>
                <w:bCs w:val="false"/>
                <w:sz w:val="19"/>
                <w:szCs w:val="19"/>
              </w:rPr>
              <w:t xml:space="preserve">0.155</w:t>
            </w:r>
          </w:p>
        </w:tc>
        <w:tc>
          <w:tcPr>
            <w:tcW w:type="dxa" w:w="1560"/>
            <w:shd w:fill="F2F2F2" w:val="clear"/>
          </w:tcPr>
          <w:p>
            <w:pPr>
              <w:jc w:val="center"/>
            </w:pPr>
            <w:r>
              <w:rPr>
                <w:b w:val="false"/>
                <w:bCs w:val="false"/>
                <w:sz w:val="19"/>
                <w:szCs w:val="19"/>
              </w:rPr>
              <w:t xml:space="preserve">&lt;0.001 ***</w:t>
            </w:r>
          </w:p>
        </w:tc>
        <w:tc>
          <w:tcPr>
            <w:tcW w:type="dxa" w:w="2200"/>
            <w:shd w:fill="F2F2F2" w:val="clear"/>
          </w:tcPr>
          <w:p>
            <w:pPr>
              <w:jc w:val="center"/>
            </w:pPr>
            <w:r>
              <w:rPr>
                <w:b w:val="false"/>
                <w:bCs w:val="false"/>
                <w:sz w:val="19"/>
                <w:szCs w:val="19"/>
              </w:rPr>
              <w:t xml:space="preserve">Brecha estructural ✓</w:t>
            </w:r>
          </w:p>
        </w:tc>
      </w:tr>
      <w:tr>
        <w:tc>
          <w:tcPr>
            <w:tcW w:type="dxa" w:w="2200"/>
            <w:shd w:fill="FFFFFF" w:val="clear"/>
          </w:tcPr>
          <w:p>
            <w:pPr>
              <w:jc w:val="left"/>
            </w:pPr>
            <w:r>
              <w:rPr>
                <w:b/>
                <w:bCs/>
                <w:sz w:val="19"/>
                <w:szCs w:val="19"/>
              </w:rPr>
              <w:t xml:space="preserve">y₉ Dist. CIDH</w:t>
            </w:r>
          </w:p>
        </w:tc>
        <w:tc>
          <w:tcPr>
            <w:tcW w:type="dxa" w:w="1900"/>
            <w:shd w:fill="FFFFFF" w:val="clear"/>
          </w:tcPr>
          <w:p>
            <w:pPr>
              <w:jc w:val="center"/>
            </w:pPr>
            <w:r>
              <w:rPr>
                <w:b w:val="false"/>
                <w:bCs w:val="false"/>
                <w:sz w:val="19"/>
                <w:szCs w:val="19"/>
              </w:rPr>
              <w:t xml:space="preserve">0.261</w:t>
            </w:r>
          </w:p>
        </w:tc>
        <w:tc>
          <w:tcPr>
            <w:tcW w:type="dxa" w:w="1500"/>
            <w:shd w:fill="FFFFFF" w:val="clear"/>
          </w:tcPr>
          <w:p>
            <w:pPr>
              <w:jc w:val="center"/>
            </w:pPr>
            <w:r>
              <w:rPr>
                <w:b w:val="false"/>
                <w:bCs w:val="false"/>
                <w:sz w:val="19"/>
                <w:szCs w:val="19"/>
              </w:rPr>
              <w:t xml:space="preserve">0.217</w:t>
            </w:r>
          </w:p>
        </w:tc>
        <w:tc>
          <w:tcPr>
            <w:tcW w:type="dxa" w:w="1560"/>
            <w:shd w:fill="FFFFFF" w:val="clear"/>
          </w:tcPr>
          <w:p>
            <w:pPr>
              <w:jc w:val="center"/>
            </w:pPr>
            <w:r>
              <w:rPr>
                <w:b w:val="false"/>
                <w:bCs w:val="false"/>
                <w:sz w:val="19"/>
                <w:szCs w:val="19"/>
              </w:rPr>
              <w:t xml:space="preserve">&lt;0.001 ***</w:t>
            </w:r>
          </w:p>
        </w:tc>
        <w:tc>
          <w:tcPr>
            <w:tcW w:type="dxa" w:w="2200"/>
            <w:shd w:fill="FFFFFF" w:val="clear"/>
          </w:tcPr>
          <w:p>
            <w:pPr>
              <w:jc w:val="center"/>
            </w:pPr>
            <w:r>
              <w:rPr>
                <w:b w:val="false"/>
                <w:bCs w:val="false"/>
                <w:sz w:val="19"/>
                <w:szCs w:val="19"/>
              </w:rPr>
              <w:t xml:space="preserve">Brecha estructural ✓</w:t>
            </w:r>
          </w:p>
        </w:tc>
      </w:tr>
    </w:tbl>
    <w:p>
      <w:pPr>
        <w:spacing w:after="120" w:line="276"/>
        <w:jc w:val="both"/>
      </w:pPr>
      <w:r>
        <w:rPr>
          <w:sz w:val="22"/>
          <w:szCs w:val="22"/>
        </w:rPr>
        <w:t xml:space="preserve">Al restringir el Corpus A al mismo período histórico del Corpus B (2018-2023), la brecha en los indicadores semánticos (y₈, y₉) y en el reconocimiento (y₁₀) persiste con p&lt;0.001. Esto confirma que la cercanía al lenguaje de las víctimas y del derecho internacional es una diferencia estructural entre los sistemas de justicia, no un artefacto de la evolución temporal del lenguaje jurídico colombiano.</w:t>
      </w:r>
    </w:p>
    <w:p>
      <w:pPr>
        <w:pStyle w:val="Heading3"/>
        <w:spacing w:after="80" w:before="160"/>
      </w:pPr>
      <w:r>
        <w:rPr>
          <w:b/>
          <w:bCs/>
          <w:color w:val="1F3864"/>
          <w:sz w:val="23"/>
          <w:szCs w:val="23"/>
        </w:rPr>
        <w:t xml:space="preserve">5.7.2 Análisis de senderos exploratorio</w:t>
      </w:r>
    </w:p>
    <w:p>
      <w:pPr>
        <w:spacing w:after="120" w:line="276"/>
        <w:jc w:val="both"/>
      </w:pPr>
      <w:r>
        <w:rPr>
          <w:sz w:val="22"/>
          <w:szCs w:val="22"/>
        </w:rPr>
        <w:t xml:space="preserve">El análisis de senderos sobre los indicadores individuales identifica la distancia semántica al lenguaje de las víctimas (y₈, centroide MAFAPO) como el predictor central de la transición epistémica. La regresión de la Ruptura Epistémica Positiva (y₁₀) sobre los indicadores de injusticia arroja un coeficiente robusto y consistente en dos universos independientes: β=−0.679 (p=0.047) en el Corpus C (n=47) y β=−0.597 (p&lt;0.001) en el análisis tri-corpus (n=946). El signo negativo indica que cuanto mayor es la distancia del discurso respecto al lenguaje de las víctimas, menor es la ruptura epistémica positiva: la adopción del vocabulario y la estructura semántica de las víctimas —más que la reducción de los mecanismos de encubrimiento— es el mecanismo central de la transición discursiva. Este hallazgo, que emerge nítidamente a nivel de indicador aunque queda atenuado al agregarse en el índice IEI, respalda por vía estructural la hipótesis central del framework: la injusticia epistémica se asocia inversamente con la capacidad de transición reparadora.</w:t>
      </w:r>
    </w:p>
    <w:p>
      <w:pPr>
        <w:spacing w:after="120" w:line="276"/>
        <w:jc w:val="both"/>
      </w:pPr>
      <w:r>
        <w:rPr>
          <w:sz w:val="22"/>
          <w:szCs w:val="22"/>
        </w:rPr>
        <w:t xml:space="preserve">Nota metodológica: el análisis de senderos se realiza sobre los indicadores del pipeline depurado; el antiguo indicador de distancia léxico-civil (y₃) fue descartado por carecer de varianza suficiente y no estar definido en el Corpus C oral. El coeficiente y₈→y₁₀ lo sustituye conservando —y reforzando— el mensaje teórico. Dado el tamaño muestral del Corpus C (n=47), este análisis se reporta como exploratorio.</w:t>
      </w:r>
    </w:p>
    <w:p>
      <w:pPr>
        <w:pStyle w:val="Heading2"/>
        <w:spacing w:after="100" w:before="200"/>
      </w:pPr>
      <w:r>
        <w:rPr>
          <w:b/>
          <w:bCs/>
          <w:color w:val="1F3864"/>
          <w:sz w:val="26"/>
          <w:szCs w:val="26"/>
        </w:rPr>
        <w:t xml:space="preserve">5.8 Capa 3 — Diarización y análisis semántico Corpus C</w:t>
      </w:r>
    </w:p>
    <w:p>
      <w:pPr>
        <w:spacing w:after="60" w:before="60"/>
      </w:pPr>
      <w:r>
        <w:rPr>
          <w:i/>
          <w:iCs/>
          <w:color w:val="595959"/>
          <w:sz w:val="19"/>
          <w:szCs w:val="19"/>
        </w:rPr>
        <w:t xml:space="preserve">Tabla 5.7. Corpus C — resultados semánticos por subcaso. y₈ y y₉ calculados con ConfliBERT-Spanish sobre 588 bloques.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600"/>
        <w:gridCol w:w="2060"/>
        <w:gridCol w:w="2000"/>
      </w:tblGrid>
      <w:tr>
        <w:trPr>
          <w:tblHeader/>
        </w:trPr>
        <w:tc>
          <w:tcPr>
            <w:tcW w:type="dxa" w:w="2400"/>
            <w:shd w:fill="1F3864" w:val="clear"/>
          </w:tcPr>
          <w:p>
            <w:pPr>
              <w:jc w:val="center"/>
            </w:pPr>
            <w:r>
              <w:rPr>
                <w:b/>
                <w:bCs/>
                <w:color w:val="FFFFFF"/>
                <w:sz w:val="19"/>
                <w:szCs w:val="19"/>
              </w:rPr>
              <w:t xml:space="preserve">Audiencia</w:t>
            </w:r>
          </w:p>
        </w:tc>
        <w:tc>
          <w:tcPr>
            <w:tcW w:type="dxa" w:w="1300"/>
            <w:shd w:fill="1F3864" w:val="clear"/>
          </w:tcPr>
          <w:p>
            <w:pPr>
              <w:jc w:val="center"/>
            </w:pPr>
            <w:r>
              <w:rPr>
                <w:b/>
                <w:bCs/>
                <w:color w:val="FFFFFF"/>
                <w:sz w:val="19"/>
                <w:szCs w:val="19"/>
              </w:rPr>
              <w:t xml:space="preserve">Dur.</w:t>
            </w:r>
          </w:p>
        </w:tc>
        <w:tc>
          <w:tcPr>
            <w:tcW w:type="dxa" w:w="1600"/>
            <w:shd w:fill="1F3864" w:val="clear"/>
          </w:tcPr>
          <w:p>
            <w:pPr>
              <w:jc w:val="center"/>
            </w:pPr>
            <w:r>
              <w:rPr>
                <w:b/>
                <w:bCs/>
                <w:color w:val="FFFFFF"/>
                <w:sz w:val="19"/>
                <w:szCs w:val="19"/>
              </w:rPr>
              <w:t xml:space="preserve">Bloques</w:t>
            </w:r>
          </w:p>
        </w:tc>
        <w:tc>
          <w:tcPr>
            <w:tcW w:type="dxa" w:w="2060"/>
            <w:shd w:fill="1F3864" w:val="clear"/>
          </w:tcPr>
          <w:p>
            <w:pPr>
              <w:jc w:val="center"/>
            </w:pPr>
            <w:r>
              <w:rPr>
                <w:b/>
                <w:bCs/>
                <w:color w:val="FFFFFF"/>
                <w:sz w:val="19"/>
                <w:szCs w:val="19"/>
              </w:rPr>
              <w:t xml:space="preserve">y₈ MAFAPO</w:t>
            </w:r>
          </w:p>
        </w:tc>
        <w:tc>
          <w:tcPr>
            <w:tcW w:type="dxa" w:w="2000"/>
            <w:shd w:fill="1F3864" w:val="clear"/>
          </w:tcPr>
          <w:p>
            <w:pPr>
              <w:jc w:val="center"/>
            </w:pPr>
            <w:r>
              <w:rPr>
                <w:b/>
                <w:bCs/>
                <w:color w:val="FFFFFF"/>
                <w:sz w:val="19"/>
                <w:szCs w:val="19"/>
              </w:rPr>
              <w:t xml:space="preserve">y₉ CIDH</w:t>
            </w:r>
          </w:p>
        </w:tc>
      </w:tr>
      <w:tr>
        <w:tc>
          <w:tcPr>
            <w:tcW w:type="dxa" w:w="2400"/>
            <w:shd w:fill="FFFFFF" w:val="clear"/>
          </w:tcPr>
          <w:p>
            <w:pPr>
              <w:jc w:val="left"/>
            </w:pPr>
            <w:r>
              <w:rPr>
                <w:b/>
                <w:bCs/>
                <w:sz w:val="19"/>
                <w:szCs w:val="19"/>
              </w:rPr>
              <w:t xml:space="preserve">Catatumbo</w:t>
            </w:r>
          </w:p>
        </w:tc>
        <w:tc>
          <w:tcPr>
            <w:tcW w:type="dxa" w:w="1300"/>
            <w:shd w:fill="FFFFFF" w:val="clear"/>
          </w:tcPr>
          <w:p>
            <w:pPr>
              <w:jc w:val="center"/>
            </w:pPr>
            <w:r>
              <w:rPr>
                <w:b w:val="false"/>
                <w:bCs w:val="false"/>
                <w:sz w:val="19"/>
                <w:szCs w:val="19"/>
              </w:rPr>
              <w:t xml:space="preserve">9.5h</w:t>
            </w:r>
          </w:p>
        </w:tc>
        <w:tc>
          <w:tcPr>
            <w:tcW w:type="dxa" w:w="1600"/>
            <w:shd w:fill="FFFFFF" w:val="clear"/>
          </w:tcPr>
          <w:p>
            <w:pPr>
              <w:jc w:val="center"/>
            </w:pPr>
            <w:r>
              <w:rPr>
                <w:b w:val="false"/>
                <w:bCs w:val="false"/>
                <w:sz w:val="19"/>
                <w:szCs w:val="19"/>
              </w:rPr>
              <w:t xml:space="preserve">58</w:t>
            </w:r>
          </w:p>
        </w:tc>
        <w:tc>
          <w:tcPr>
            <w:tcW w:type="dxa" w:w="2060"/>
            <w:shd w:fill="FFFFFF" w:val="clear"/>
          </w:tcPr>
          <w:p>
            <w:pPr>
              <w:jc w:val="center"/>
            </w:pPr>
            <w:r>
              <w:rPr>
                <w:b w:val="false"/>
                <w:bCs w:val="false"/>
                <w:sz w:val="19"/>
                <w:szCs w:val="19"/>
              </w:rPr>
              <w:t xml:space="preserve">0.179</w:t>
            </w:r>
          </w:p>
        </w:tc>
        <w:tc>
          <w:tcPr>
            <w:tcW w:type="dxa" w:w="2000"/>
            <w:shd w:fill="FFFFFF" w:val="clear"/>
          </w:tcPr>
          <w:p>
            <w:pPr>
              <w:jc w:val="center"/>
            </w:pPr>
            <w:r>
              <w:rPr>
                <w:b w:val="false"/>
                <w:bCs w:val="false"/>
                <w:sz w:val="19"/>
                <w:szCs w:val="19"/>
              </w:rPr>
              <w:t xml:space="preserve">0.271</w:t>
            </w:r>
          </w:p>
        </w:tc>
      </w:tr>
      <w:tr>
        <w:tc>
          <w:tcPr>
            <w:tcW w:type="dxa" w:w="2400"/>
            <w:shd w:fill="F2F2F2" w:val="clear"/>
          </w:tcPr>
          <w:p>
            <w:pPr>
              <w:jc w:val="left"/>
            </w:pPr>
            <w:r>
              <w:rPr>
                <w:b/>
                <w:bCs/>
                <w:sz w:val="19"/>
                <w:szCs w:val="19"/>
              </w:rPr>
              <w:t xml:space="preserve">Costa Caribe</w:t>
            </w:r>
          </w:p>
        </w:tc>
        <w:tc>
          <w:tcPr>
            <w:tcW w:type="dxa" w:w="1300"/>
            <w:shd w:fill="F2F2F2" w:val="clear"/>
          </w:tcPr>
          <w:p>
            <w:pPr>
              <w:jc w:val="center"/>
            </w:pPr>
            <w:r>
              <w:rPr>
                <w:b w:val="false"/>
                <w:bCs w:val="false"/>
                <w:sz w:val="19"/>
                <w:szCs w:val="19"/>
              </w:rPr>
              <w:t xml:space="preserve">10.5h</w:t>
            </w:r>
          </w:p>
        </w:tc>
        <w:tc>
          <w:tcPr>
            <w:tcW w:type="dxa" w:w="1600"/>
            <w:shd w:fill="F2F2F2" w:val="clear"/>
          </w:tcPr>
          <w:p>
            <w:pPr>
              <w:jc w:val="center"/>
            </w:pPr>
            <w:r>
              <w:rPr>
                <w:b w:val="false"/>
                <w:bCs w:val="false"/>
                <w:sz w:val="19"/>
                <w:szCs w:val="19"/>
              </w:rPr>
              <w:t xml:space="preserve">128</w:t>
            </w:r>
          </w:p>
        </w:tc>
        <w:tc>
          <w:tcPr>
            <w:tcW w:type="dxa" w:w="2060"/>
            <w:shd w:fill="F2F2F2" w:val="clear"/>
          </w:tcPr>
          <w:p>
            <w:pPr>
              <w:jc w:val="center"/>
            </w:pPr>
            <w:r>
              <w:rPr>
                <w:b w:val="false"/>
                <w:bCs w:val="false"/>
                <w:sz w:val="19"/>
                <w:szCs w:val="19"/>
              </w:rPr>
              <w:t xml:space="preserve">0.165</w:t>
            </w:r>
          </w:p>
        </w:tc>
        <w:tc>
          <w:tcPr>
            <w:tcW w:type="dxa" w:w="2000"/>
            <w:shd w:fill="F2F2F2" w:val="clear"/>
          </w:tcPr>
          <w:p>
            <w:pPr>
              <w:jc w:val="center"/>
            </w:pPr>
            <w:r>
              <w:rPr>
                <w:b w:val="false"/>
                <w:bCs w:val="false"/>
                <w:sz w:val="19"/>
                <w:szCs w:val="19"/>
              </w:rPr>
              <w:t xml:space="preserve">0.259</w:t>
            </w:r>
          </w:p>
        </w:tc>
      </w:tr>
      <w:tr>
        <w:tc>
          <w:tcPr>
            <w:tcW w:type="dxa" w:w="2400"/>
            <w:shd w:fill="FFFFFF" w:val="clear"/>
          </w:tcPr>
          <w:p>
            <w:pPr>
              <w:jc w:val="left"/>
            </w:pPr>
            <w:r>
              <w:rPr>
                <w:b/>
                <w:bCs/>
                <w:sz w:val="19"/>
                <w:szCs w:val="19"/>
              </w:rPr>
              <w:t xml:space="preserve">Casanare</w:t>
            </w:r>
          </w:p>
        </w:tc>
        <w:tc>
          <w:tcPr>
            <w:tcW w:type="dxa" w:w="1300"/>
            <w:shd w:fill="FFFFFF" w:val="clear"/>
          </w:tcPr>
          <w:p>
            <w:pPr>
              <w:jc w:val="center"/>
            </w:pPr>
            <w:r>
              <w:rPr>
                <w:b w:val="false"/>
                <w:bCs w:val="false"/>
                <w:sz w:val="19"/>
                <w:szCs w:val="19"/>
              </w:rPr>
              <w:t xml:space="preserve">5.3h</w:t>
            </w:r>
          </w:p>
        </w:tc>
        <w:tc>
          <w:tcPr>
            <w:tcW w:type="dxa" w:w="1600"/>
            <w:shd w:fill="FFFFFF" w:val="clear"/>
          </w:tcPr>
          <w:p>
            <w:pPr>
              <w:jc w:val="center"/>
            </w:pPr>
            <w:r>
              <w:rPr>
                <w:b w:val="false"/>
                <w:bCs w:val="false"/>
                <w:sz w:val="19"/>
                <w:szCs w:val="19"/>
              </w:rPr>
              <w:t xml:space="preserve">124</w:t>
            </w:r>
          </w:p>
        </w:tc>
        <w:tc>
          <w:tcPr>
            <w:tcW w:type="dxa" w:w="2060"/>
            <w:shd w:fill="FFFFFF" w:val="clear"/>
          </w:tcPr>
          <w:p>
            <w:pPr>
              <w:jc w:val="center"/>
            </w:pPr>
            <w:r>
              <w:rPr>
                <w:b w:val="false"/>
                <w:bCs w:val="false"/>
                <w:sz w:val="19"/>
                <w:szCs w:val="19"/>
              </w:rPr>
              <w:t xml:space="preserve">0.166</w:t>
            </w:r>
          </w:p>
        </w:tc>
        <w:tc>
          <w:tcPr>
            <w:tcW w:type="dxa" w:w="2000"/>
            <w:shd w:fill="FFFFFF" w:val="clear"/>
          </w:tcPr>
          <w:p>
            <w:pPr>
              <w:jc w:val="center"/>
            </w:pPr>
            <w:r>
              <w:rPr>
                <w:b w:val="false"/>
                <w:bCs w:val="false"/>
                <w:sz w:val="19"/>
                <w:szCs w:val="19"/>
              </w:rPr>
              <w:t xml:space="preserve">0.264</w:t>
            </w:r>
          </w:p>
        </w:tc>
      </w:tr>
      <w:tr>
        <w:tc>
          <w:tcPr>
            <w:tcW w:type="dxa" w:w="2400"/>
            <w:shd w:fill="F2F2F2" w:val="clear"/>
          </w:tcPr>
          <w:p>
            <w:pPr>
              <w:jc w:val="left"/>
            </w:pPr>
            <w:r>
              <w:rPr>
                <w:b/>
                <w:bCs/>
                <w:sz w:val="19"/>
                <w:szCs w:val="19"/>
              </w:rPr>
              <w:t xml:space="preserve">Dabeiba</w:t>
            </w:r>
          </w:p>
        </w:tc>
        <w:tc>
          <w:tcPr>
            <w:tcW w:type="dxa" w:w="1300"/>
            <w:shd w:fill="F2F2F2" w:val="clear"/>
          </w:tcPr>
          <w:p>
            <w:pPr>
              <w:jc w:val="center"/>
            </w:pPr>
            <w:r>
              <w:rPr>
                <w:b w:val="false"/>
                <w:bCs w:val="false"/>
                <w:sz w:val="19"/>
                <w:szCs w:val="19"/>
              </w:rPr>
              <w:t xml:space="preserve">2.3h</w:t>
            </w:r>
          </w:p>
        </w:tc>
        <w:tc>
          <w:tcPr>
            <w:tcW w:type="dxa" w:w="1600"/>
            <w:shd w:fill="F2F2F2" w:val="clear"/>
          </w:tcPr>
          <w:p>
            <w:pPr>
              <w:jc w:val="center"/>
            </w:pPr>
            <w:r>
              <w:rPr>
                <w:b w:val="false"/>
                <w:bCs w:val="false"/>
                <w:sz w:val="19"/>
                <w:szCs w:val="19"/>
              </w:rPr>
              <w:t xml:space="preserve">144</w:t>
            </w:r>
          </w:p>
        </w:tc>
        <w:tc>
          <w:tcPr>
            <w:tcW w:type="dxa" w:w="2060"/>
            <w:shd w:fill="F2F2F2" w:val="clear"/>
          </w:tcPr>
          <w:p>
            <w:pPr>
              <w:jc w:val="center"/>
            </w:pPr>
            <w:r>
              <w:rPr>
                <w:b w:val="false"/>
                <w:bCs w:val="false"/>
                <w:sz w:val="19"/>
                <w:szCs w:val="19"/>
              </w:rPr>
              <w:t xml:space="preserve">0.158</w:t>
            </w:r>
          </w:p>
        </w:tc>
        <w:tc>
          <w:tcPr>
            <w:tcW w:type="dxa" w:w="2000"/>
            <w:shd w:fill="F2F2F2" w:val="clear"/>
          </w:tcPr>
          <w:p>
            <w:pPr>
              <w:jc w:val="center"/>
            </w:pPr>
            <w:r>
              <w:rPr>
                <w:b w:val="false"/>
                <w:bCs w:val="false"/>
                <w:sz w:val="19"/>
                <w:szCs w:val="19"/>
              </w:rPr>
              <w:t xml:space="preserve">0.262</w:t>
            </w:r>
          </w:p>
        </w:tc>
      </w:tr>
      <w:tr>
        <w:tc>
          <w:tcPr>
            <w:tcW w:type="dxa" w:w="2400"/>
            <w:shd w:fill="FFFFFF" w:val="clear"/>
          </w:tcPr>
          <w:p>
            <w:pPr>
              <w:jc w:val="left"/>
            </w:pPr>
            <w:r>
              <w:rPr>
                <w:b/>
                <w:bCs/>
                <w:sz w:val="19"/>
                <w:szCs w:val="19"/>
              </w:rPr>
              <w:t xml:space="preserve">Huila</w:t>
            </w:r>
          </w:p>
        </w:tc>
        <w:tc>
          <w:tcPr>
            <w:tcW w:type="dxa" w:w="1300"/>
            <w:shd w:fill="FFFFFF" w:val="clear"/>
          </w:tcPr>
          <w:p>
            <w:pPr>
              <w:jc w:val="center"/>
            </w:pPr>
            <w:r>
              <w:rPr>
                <w:b w:val="false"/>
                <w:bCs w:val="false"/>
                <w:sz w:val="19"/>
                <w:szCs w:val="19"/>
              </w:rPr>
              <w:t xml:space="preserve">10.5h</w:t>
            </w:r>
          </w:p>
        </w:tc>
        <w:tc>
          <w:tcPr>
            <w:tcW w:type="dxa" w:w="1600"/>
            <w:shd w:fill="FFFFFF" w:val="clear"/>
          </w:tcPr>
          <w:p>
            <w:pPr>
              <w:jc w:val="center"/>
            </w:pPr>
            <w:r>
              <w:rPr>
                <w:b w:val="false"/>
                <w:bCs w:val="false"/>
                <w:sz w:val="19"/>
                <w:szCs w:val="19"/>
              </w:rPr>
              <w:t xml:space="preserve">134</w:t>
            </w:r>
          </w:p>
        </w:tc>
        <w:tc>
          <w:tcPr>
            <w:tcW w:type="dxa" w:w="2060"/>
            <w:shd w:fill="FFFFFF" w:val="clear"/>
          </w:tcPr>
          <w:p>
            <w:pPr>
              <w:jc w:val="center"/>
            </w:pPr>
            <w:r>
              <w:rPr>
                <w:b w:val="false"/>
                <w:bCs w:val="false"/>
                <w:sz w:val="19"/>
                <w:szCs w:val="19"/>
              </w:rPr>
              <w:t xml:space="preserve">0.154</w:t>
            </w:r>
          </w:p>
        </w:tc>
        <w:tc>
          <w:tcPr>
            <w:tcW w:type="dxa" w:w="2000"/>
            <w:shd w:fill="FFFFFF" w:val="clear"/>
          </w:tcPr>
          <w:p>
            <w:pPr>
              <w:jc w:val="center"/>
            </w:pPr>
            <w:r>
              <w:rPr>
                <w:b w:val="false"/>
                <w:bCs w:val="false"/>
                <w:sz w:val="19"/>
                <w:szCs w:val="19"/>
              </w:rPr>
              <w:t xml:space="preserve">0.263</w:t>
            </w:r>
          </w:p>
        </w:tc>
      </w:tr>
      <w:tr>
        <w:tc>
          <w:tcPr>
            <w:tcW w:type="dxa" w:w="2400"/>
            <w:shd w:fill="F2F2F2" w:val="clear"/>
          </w:tcPr>
          <w:p>
            <w:pPr>
              <w:jc w:val="left"/>
            </w:pPr>
            <w:r>
              <w:rPr>
                <w:b/>
                <w:bCs/>
                <w:sz w:val="19"/>
                <w:szCs w:val="19"/>
              </w:rPr>
              <w:t xml:space="preserve">Total C</w:t>
            </w:r>
          </w:p>
        </w:tc>
        <w:tc>
          <w:tcPr>
            <w:tcW w:type="dxa" w:w="1300"/>
            <w:shd w:fill="F2F2F2" w:val="clear"/>
          </w:tcPr>
          <w:p>
            <w:pPr>
              <w:jc w:val="center"/>
            </w:pPr>
            <w:r>
              <w:rPr>
                <w:b w:val="false"/>
                <w:bCs w:val="false"/>
                <w:sz w:val="19"/>
                <w:szCs w:val="19"/>
              </w:rPr>
              <w:t xml:space="preserve">38.1h</w:t>
            </w:r>
          </w:p>
        </w:tc>
        <w:tc>
          <w:tcPr>
            <w:tcW w:type="dxa" w:w="1600"/>
            <w:shd w:fill="F2F2F2" w:val="clear"/>
          </w:tcPr>
          <w:p>
            <w:pPr>
              <w:jc w:val="center"/>
            </w:pPr>
            <w:r>
              <w:rPr>
                <w:b w:val="false"/>
                <w:bCs w:val="false"/>
                <w:sz w:val="19"/>
                <w:szCs w:val="19"/>
              </w:rPr>
              <w:t xml:space="preserve">588</w:t>
            </w:r>
          </w:p>
        </w:tc>
        <w:tc>
          <w:tcPr>
            <w:tcW w:type="dxa" w:w="2060"/>
            <w:shd w:fill="F2F2F2" w:val="clear"/>
          </w:tcPr>
          <w:p>
            <w:pPr>
              <w:jc w:val="center"/>
            </w:pPr>
            <w:r>
              <w:rPr>
                <w:b w:val="false"/>
                <w:bCs w:val="false"/>
                <w:sz w:val="19"/>
                <w:szCs w:val="19"/>
              </w:rPr>
              <w:t xml:space="preserve">0.161</w:t>
            </w:r>
          </w:p>
        </w:tc>
        <w:tc>
          <w:tcPr>
            <w:tcW w:type="dxa" w:w="2000"/>
            <w:shd w:fill="F2F2F2" w:val="clear"/>
          </w:tcPr>
          <w:p>
            <w:pPr>
              <w:jc w:val="center"/>
            </w:pPr>
            <w:r>
              <w:rPr>
                <w:b w:val="false"/>
                <w:bCs w:val="false"/>
                <w:sz w:val="19"/>
                <w:szCs w:val="19"/>
              </w:rPr>
              <w:t xml:space="preserve">0.263</w:t>
            </w:r>
          </w:p>
        </w:tc>
      </w:tr>
    </w:tbl>
    <w:p>
      <w:pPr>
        <w:spacing w:after="120" w:line="276"/>
        <w:jc w:val="both"/>
      </w:pPr>
      <w:r>
        <w:rPr>
          <w:sz w:val="22"/>
          <w:szCs w:val="22"/>
        </w:rPr>
        <w:t xml:space="preserve">El análisis semántico del Corpus C revela diferencias entre subcasos. Huila (y₈=0.154) y Dabeiba (y₈=0.158) son los subcasos más cercanos semánticamente al lenguaje de las víctimas de MAFAPO, mientras que Catatumbo (y₈=0.179) es el más distante —coincidentemente el subcaso con mayor porcentaje de silencio en el audio. La media del Corpus C (y₈=0.161) es menor que la del Corpus B escrito, lo que indica que el lenguaje oral de las audiencias está, en promedio, aún más cercano al léxico de las víctimas que el escrito formal. Para y₉ CIDH, todos los subcasos están más alejados que el Corpus B, coherente con que los comparecientes hablan desde la experiencia vivida y no desde el lenguaje técnico-jurídico del DIH.</w:t>
      </w:r>
    </w:p>
    <w:p>
      <w:pPr>
        <w:pStyle w:val="Heading2"/>
        <w:spacing w:after="100" w:before="200"/>
      </w:pPr>
      <w:r>
        <w:rPr>
          <w:b/>
          <w:bCs/>
          <w:color w:val="1F3864"/>
          <w:sz w:val="26"/>
          <w:szCs w:val="26"/>
        </w:rPr>
        <w:t xml:space="preserve">5.9 Capa 3 — Canal facial: composición del distress y normalización</w:t>
      </w:r>
    </w:p>
    <w:p>
      <w:pPr>
        <w:spacing w:after="120" w:line="276"/>
        <w:jc w:val="both"/>
      </w:pPr>
      <w:r>
        <w:rPr>
          <w:b/>
          <w:bCs/>
          <w:sz w:val="22"/>
          <w:szCs w:val="22"/>
        </w:rPr>
        <w:t xml:space="preserve">Extracción y atribución. </w:t>
      </w:r>
      <w:r>
        <w:rPr>
          <w:sz w:val="22"/>
          <w:szCs w:val="22"/>
        </w:rPr>
        <w:t xml:space="preserve">La Capa 3 multimodal extrae Action Units (AUs) faciales de los comparecientes mediante MediaPipe FaceLandmarker, de manera homogénea en los cinco subcasos del Corpus C. La atribución de los segmentos faciales a cada compareciente se ancla en la marcación temporal verificada de su intervención —a partir de los letreros de identificación en pantalla de la JEP—, lo que garantiza una asignación auditable e independiente de la diarización automática. La unidad de análisis es el compareciente individual.</w:t>
      </w:r>
    </w:p>
    <w:p>
      <w:pPr>
        <w:spacing w:after="60" w:before="60"/>
      </w:pPr>
      <w:r>
        <w:rPr>
          <w:i/>
          <w:iCs/>
          <w:color w:val="595959"/>
          <w:sz w:val="19"/>
          <w:szCs w:val="19"/>
        </w:rPr>
        <w:t xml:space="preserve">Tabla 5.8. Composición del distress facial por Action Unit (51.220 frames, Corpus C). AU4 (ceño) es el contribuyente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200"/>
        <w:gridCol w:w="2200"/>
      </w:tblGrid>
      <w:tr>
        <w:trPr>
          <w:tblHeader/>
        </w:trPr>
        <w:tc>
          <w:tcPr>
            <w:tcW w:type="dxa" w:w="2000"/>
            <w:shd w:fill="1F3864" w:val="clear"/>
          </w:tcPr>
          <w:p>
            <w:pPr>
              <w:jc w:val="center"/>
            </w:pPr>
            <w:r>
              <w:rPr>
                <w:b/>
                <w:bCs/>
                <w:color w:val="FFFFFF"/>
                <w:sz w:val="19"/>
                <w:szCs w:val="19"/>
              </w:rPr>
              <w:t xml:space="preserve">Action Unit</w:t>
            </w:r>
          </w:p>
        </w:tc>
        <w:tc>
          <w:tcPr>
            <w:tcW w:type="dxa" w:w="2960"/>
            <w:shd w:fill="1F3864" w:val="clear"/>
          </w:tcPr>
          <w:p>
            <w:pPr>
              <w:jc w:val="center"/>
            </w:pPr>
            <w:r>
              <w:rPr>
                <w:b/>
                <w:bCs/>
                <w:color w:val="FFFFFF"/>
                <w:sz w:val="19"/>
                <w:szCs w:val="19"/>
              </w:rPr>
              <w:t xml:space="preserve">Descriptor FACS</w:t>
            </w:r>
          </w:p>
        </w:tc>
        <w:tc>
          <w:tcPr>
            <w:tcW w:type="dxa" w:w="2200"/>
            <w:shd w:fill="1F3864" w:val="clear"/>
          </w:tcPr>
          <w:p>
            <w:pPr>
              <w:jc w:val="center"/>
            </w:pPr>
            <w:r>
              <w:rPr>
                <w:b/>
                <w:bCs/>
                <w:color w:val="FFFFFF"/>
                <w:sz w:val="19"/>
                <w:szCs w:val="19"/>
              </w:rPr>
              <w:t xml:space="preserve">Contribución</w:t>
            </w:r>
          </w:p>
        </w:tc>
        <w:tc>
          <w:tcPr>
            <w:tcW w:type="dxa" w:w="2200"/>
            <w:shd w:fill="1F3864" w:val="clear"/>
          </w:tcPr>
          <w:p>
            <w:pPr>
              <w:jc w:val="center"/>
            </w:pPr>
            <w:r>
              <w:rPr>
                <w:b/>
                <w:bCs/>
                <w:color w:val="FFFFFF"/>
                <w:sz w:val="19"/>
                <w:szCs w:val="19"/>
              </w:rPr>
              <w:t xml:space="preserve">Correlación (r)</w:t>
            </w:r>
          </w:p>
        </w:tc>
      </w:tr>
      <w:tr>
        <w:tc>
          <w:tcPr>
            <w:tcW w:type="dxa" w:w="2000"/>
            <w:shd w:fill="FFFFFF" w:val="clear"/>
          </w:tcPr>
          <w:p>
            <w:pPr>
              <w:jc w:val="left"/>
            </w:pPr>
            <w:r>
              <w:rPr>
                <w:b/>
                <w:bCs/>
                <w:sz w:val="19"/>
                <w:szCs w:val="19"/>
              </w:rPr>
              <w:t xml:space="preserve">AU4</w:t>
            </w:r>
          </w:p>
        </w:tc>
        <w:tc>
          <w:tcPr>
            <w:tcW w:type="dxa" w:w="2960"/>
            <w:shd w:fill="FFFFFF" w:val="clear"/>
          </w:tcPr>
          <w:p>
            <w:pPr>
              <w:jc w:val="center"/>
            </w:pPr>
            <w:r>
              <w:rPr>
                <w:b w:val="false"/>
                <w:bCs w:val="false"/>
                <w:sz w:val="19"/>
                <w:szCs w:val="19"/>
              </w:rPr>
              <w:t xml:space="preserve">Ceño (brow lowerer)</w:t>
            </w:r>
          </w:p>
        </w:tc>
        <w:tc>
          <w:tcPr>
            <w:tcW w:type="dxa" w:w="2200"/>
            <w:shd w:fill="FFFFFF" w:val="clear"/>
          </w:tcPr>
          <w:p>
            <w:pPr>
              <w:jc w:val="center"/>
            </w:pPr>
            <w:r>
              <w:rPr>
                <w:b w:val="false"/>
                <w:bCs w:val="false"/>
                <w:sz w:val="19"/>
                <w:szCs w:val="19"/>
              </w:rPr>
              <w:t xml:space="preserve">52%</w:t>
            </w:r>
          </w:p>
        </w:tc>
        <w:tc>
          <w:tcPr>
            <w:tcW w:type="dxa" w:w="2200"/>
            <w:shd w:fill="FFFFFF" w:val="clear"/>
          </w:tcPr>
          <w:p>
            <w:pPr>
              <w:jc w:val="center"/>
            </w:pPr>
            <w:r>
              <w:rPr>
                <w:b w:val="false"/>
                <w:bCs w:val="false"/>
                <w:sz w:val="19"/>
                <w:szCs w:val="19"/>
              </w:rPr>
              <w:t xml:space="preserve">0.524</w:t>
            </w:r>
          </w:p>
        </w:tc>
      </w:tr>
      <w:tr>
        <w:tc>
          <w:tcPr>
            <w:tcW w:type="dxa" w:w="2000"/>
            <w:shd w:fill="F2F2F2" w:val="clear"/>
          </w:tcPr>
          <w:p>
            <w:pPr>
              <w:jc w:val="left"/>
            </w:pPr>
            <w:r>
              <w:rPr>
                <w:b/>
                <w:bCs/>
                <w:sz w:val="19"/>
                <w:szCs w:val="19"/>
              </w:rPr>
              <w:t xml:space="preserve">AU1</w:t>
            </w:r>
          </w:p>
        </w:tc>
        <w:tc>
          <w:tcPr>
            <w:tcW w:type="dxa" w:w="2960"/>
            <w:shd w:fill="F2F2F2" w:val="clear"/>
          </w:tcPr>
          <w:p>
            <w:pPr>
              <w:jc w:val="center"/>
            </w:pPr>
            <w:r>
              <w:rPr>
                <w:b w:val="false"/>
                <w:bCs w:val="false"/>
                <w:sz w:val="19"/>
                <w:szCs w:val="19"/>
              </w:rPr>
              <w:t xml:space="preserve">Ceja interna elevada</w:t>
            </w:r>
          </w:p>
        </w:tc>
        <w:tc>
          <w:tcPr>
            <w:tcW w:type="dxa" w:w="2200"/>
            <w:shd w:fill="F2F2F2" w:val="clear"/>
          </w:tcPr>
          <w:p>
            <w:pPr>
              <w:jc w:val="center"/>
            </w:pPr>
            <w:r>
              <w:rPr>
                <w:b w:val="false"/>
                <w:bCs w:val="false"/>
                <w:sz w:val="19"/>
                <w:szCs w:val="19"/>
              </w:rPr>
              <w:t xml:space="preserve">24%</w:t>
            </w:r>
          </w:p>
        </w:tc>
        <w:tc>
          <w:tcPr>
            <w:tcW w:type="dxa" w:w="2200"/>
            <w:shd w:fill="F2F2F2" w:val="clear"/>
          </w:tcPr>
          <w:p>
            <w:pPr>
              <w:jc w:val="center"/>
            </w:pPr>
            <w:r>
              <w:rPr>
                <w:b w:val="false"/>
                <w:bCs w:val="false"/>
                <w:sz w:val="19"/>
                <w:szCs w:val="19"/>
              </w:rPr>
              <w:t xml:space="preserve">0.260</w:t>
            </w:r>
          </w:p>
        </w:tc>
      </w:tr>
      <w:tr>
        <w:tc>
          <w:tcPr>
            <w:tcW w:type="dxa" w:w="2000"/>
            <w:shd w:fill="FFFFFF" w:val="clear"/>
          </w:tcPr>
          <w:p>
            <w:pPr>
              <w:jc w:val="left"/>
            </w:pPr>
            <w:r>
              <w:rPr>
                <w:b/>
                <w:bCs/>
                <w:sz w:val="19"/>
                <w:szCs w:val="19"/>
              </w:rPr>
              <w:t xml:space="preserve">AU17</w:t>
            </w:r>
          </w:p>
        </w:tc>
        <w:tc>
          <w:tcPr>
            <w:tcW w:type="dxa" w:w="2960"/>
            <w:shd w:fill="FFFFFF" w:val="clear"/>
          </w:tcPr>
          <w:p>
            <w:pPr>
              <w:jc w:val="center"/>
            </w:pPr>
            <w:r>
              <w:rPr>
                <w:b w:val="false"/>
                <w:bCs w:val="false"/>
                <w:sz w:val="19"/>
                <w:szCs w:val="19"/>
              </w:rPr>
              <w:t xml:space="preserve">Mentón (chin raiser)</w:t>
            </w:r>
          </w:p>
        </w:tc>
        <w:tc>
          <w:tcPr>
            <w:tcW w:type="dxa" w:w="2200"/>
            <w:shd w:fill="FFFFFF" w:val="clear"/>
          </w:tcPr>
          <w:p>
            <w:pPr>
              <w:jc w:val="center"/>
            </w:pPr>
            <w:r>
              <w:rPr>
                <w:b w:val="false"/>
                <w:bCs w:val="false"/>
                <w:sz w:val="19"/>
                <w:szCs w:val="19"/>
              </w:rPr>
              <w:t xml:space="preserve">23%</w:t>
            </w:r>
          </w:p>
        </w:tc>
        <w:tc>
          <w:tcPr>
            <w:tcW w:type="dxa" w:w="2200"/>
            <w:shd w:fill="FFFFFF" w:val="clear"/>
          </w:tcPr>
          <w:p>
            <w:pPr>
              <w:jc w:val="center"/>
            </w:pPr>
            <w:r>
              <w:rPr>
                <w:b w:val="false"/>
                <w:bCs w:val="false"/>
                <w:sz w:val="19"/>
                <w:szCs w:val="19"/>
              </w:rPr>
              <w:t xml:space="preserve">0.238</w:t>
            </w:r>
          </w:p>
        </w:tc>
      </w:tr>
      <w:tr>
        <w:tc>
          <w:tcPr>
            <w:tcW w:type="dxa" w:w="2000"/>
            <w:shd w:fill="F2F2F2" w:val="clear"/>
          </w:tcPr>
          <w:p>
            <w:pPr>
              <w:jc w:val="left"/>
            </w:pPr>
            <w:r>
              <w:rPr>
                <w:b/>
                <w:bCs/>
                <w:sz w:val="19"/>
                <w:szCs w:val="19"/>
              </w:rPr>
              <w:t xml:space="preserve">AU15</w:t>
            </w:r>
          </w:p>
        </w:tc>
        <w:tc>
          <w:tcPr>
            <w:tcW w:type="dxa" w:w="2960"/>
            <w:shd w:fill="F2F2F2" w:val="clear"/>
          </w:tcPr>
          <w:p>
            <w:pPr>
              <w:jc w:val="center"/>
            </w:pPr>
            <w:r>
              <w:rPr>
                <w:b w:val="false"/>
                <w:bCs w:val="false"/>
                <w:sz w:val="19"/>
                <w:szCs w:val="19"/>
              </w:rPr>
              <w:t xml:space="preserve">Comisuras hacia abajo</w:t>
            </w:r>
          </w:p>
        </w:tc>
        <w:tc>
          <w:tcPr>
            <w:tcW w:type="dxa" w:w="2200"/>
            <w:shd w:fill="F2F2F2" w:val="clear"/>
          </w:tcPr>
          <w:p>
            <w:pPr>
              <w:jc w:val="center"/>
            </w:pPr>
            <w:r>
              <w:rPr>
                <w:b w:val="false"/>
                <w:bCs w:val="false"/>
                <w:sz w:val="19"/>
                <w:szCs w:val="19"/>
              </w:rPr>
              <w:t xml:space="preserve">2%</w:t>
            </w:r>
          </w:p>
        </w:tc>
        <w:tc>
          <w:tcPr>
            <w:tcW w:type="dxa" w:w="2200"/>
            <w:shd w:fill="F2F2F2" w:val="clear"/>
          </w:tcPr>
          <w:p>
            <w:pPr>
              <w:jc w:val="center"/>
            </w:pPr>
            <w:r>
              <w:rPr>
                <w:b w:val="false"/>
                <w:bCs w:val="false"/>
                <w:sz w:val="19"/>
                <w:szCs w:val="19"/>
              </w:rPr>
              <w:t xml:space="preserve">0.090</w:t>
            </w:r>
          </w:p>
        </w:tc>
      </w:tr>
    </w:tbl>
    <w:p>
      <w:pPr>
        <w:spacing w:after="120" w:line="276"/>
        <w:jc w:val="both"/>
      </w:pPr>
      <w:r>
        <w:rPr>
          <w:b/>
          <w:bCs/>
          <w:sz w:val="22"/>
          <w:szCs w:val="22"/>
        </w:rPr>
        <w:t xml:space="preserve">Supresión de AUs bucales por el habla. </w:t>
      </w:r>
      <w:r>
        <w:rPr>
          <w:sz w:val="22"/>
          <w:szCs w:val="22"/>
        </w:rPr>
        <w:t xml:space="preserve">AU4 (ceño) es el contribuyente dominante del distress (52%), seguido de AU1 (24%) y AU17 (23%); AU15 aporta de forma marginal (2%). Las Action Units de la región bucal muestran supresión sistemática durante el habla: AU17 desciende cerca del 80% en frames de habla activa frente a frames de boca en reposo. AU4, situada en la región frontal e independiente del aparato fonador, resulta el indicador de distress más estable en audiencias donde los comparecientes hablan de forma continua. Este comportamiento se documenta como característica metodológica del análisis facial en contextos forenses orales.</w:t>
      </w:r>
    </w:p>
    <w:p>
      <w:pPr>
        <w:spacing w:after="120" w:line="276"/>
        <w:jc w:val="both"/>
      </w:pPr>
      <w:r>
        <w:rPr>
          <w:b/>
          <w:bCs/>
          <w:sz w:val="22"/>
          <w:szCs w:val="22"/>
        </w:rPr>
        <w:t xml:space="preserve">Normalización comparativa. </w:t>
      </w:r>
      <w:r>
        <w:rPr>
          <w:sz w:val="22"/>
          <w:szCs w:val="22"/>
        </w:rPr>
        <w:t xml:space="preserve">El canal facial se normaliza mediante z-score sobre la distribución del corpus (μ=0.1024, σ=0.0369, congeladas como constantes de calibración), mapeado al rango [0,1]. Conforme a Barrett et al. (2019), la intensidad absoluta de las configuraciones faciales no es directamente interpretable, por lo que la expresión facial se evalúa de forma relativa entre individuos.</w:t>
      </w:r>
    </w:p>
    <w:p>
      <w:pPr>
        <w:spacing w:after="120" w:line="276"/>
        <w:jc w:val="both"/>
      </w:pPr>
      <w:r>
        <w:rPr>
          <w:b/>
          <w:bCs/>
          <w:sz w:val="22"/>
          <w:szCs w:val="22"/>
        </w:rPr>
        <w:t xml:space="preserve">Nota epistemológica. </w:t>
      </w:r>
      <w:r>
        <w:rPr>
          <w:sz w:val="22"/>
          <w:szCs w:val="22"/>
        </w:rPr>
        <w:t xml:space="preserve">Los resultados de la Capa 3 deben leerse con cautela fundamental. El ICM facial no mide sinceridad ni autenticidad psicológica individual: mide congruencia entre señales comunicativas multimodales a nivel del compareciente. Adicionalmente, MediaPipe FaceLandmarker no ha sido auditado sobre rostros mestizos, afrocolombianos o indígenas (Buolamwini y Gebru, 2018), lo que constituye una limitación de transferibilidad explícita.</w:t>
      </w:r>
    </w:p>
    <w:p>
      <w:pPr>
        <w:pStyle w:val="Heading2"/>
        <w:spacing w:after="100" w:before="200"/>
      </w:pPr>
      <w:r>
        <w:rPr>
          <w:b/>
          <w:bCs/>
          <w:color w:val="1F3864"/>
          <w:sz w:val="26"/>
          <w:szCs w:val="26"/>
        </w:rPr>
        <w:t xml:space="preserve">5.10 Capa 3 — ICM tri-canal por compareciente</w:t>
      </w:r>
    </w:p>
    <w:p>
      <w:pPr>
        <w:spacing w:after="120" w:line="276"/>
        <w:jc w:val="both"/>
      </w:pPr>
      <w:r>
        <w:rPr>
          <w:sz w:val="22"/>
          <w:szCs w:val="22"/>
        </w:rPr>
        <w:t xml:space="preserve">El Índice de Congruencia Multimodal se calcula para cada compareciente individualmente, integrando los tres canales con pesos 0.40 facial / 0.40 vocal / 0.20 verbal. El canal facial se normaliza por z-score comparativo; el vocal mediante escala fija anclada en valores de referencia de la literatura; y el verbal como proporción del discurso reparador (REP, y₁₀). Cuando un canal carece de cobertura suficiente, el índice se renormaliza sobre los canales disponibles. De los 47 comparecientes con cobertura suficiente, 38 se clasifican como sólidos y 9 como mínimos.</w:t>
      </w:r>
    </w:p>
    <w:p>
      <w:pPr>
        <w:pStyle w:val="Heading2"/>
        <w:spacing w:after="100" w:before="200"/>
      </w:pPr>
      <w:r>
        <w:rPr>
          <w:b/>
          <w:bCs/>
          <w:color w:val="1F3864"/>
          <w:sz w:val="26"/>
          <w:szCs w:val="26"/>
        </w:rPr>
        <w:t xml:space="preserve">5.11 Capa 3 — Síntesis interpretativa por subcaso</w:t>
      </w:r>
    </w:p>
    <w:p>
      <w:pPr>
        <w:spacing w:after="120" w:line="276"/>
        <w:jc w:val="both"/>
      </w:pPr>
      <w:r>
        <w:rPr>
          <w:b/>
          <w:bCs/>
          <w:sz w:val="22"/>
          <w:szCs w:val="22"/>
        </w:rPr>
        <w:t xml:space="preserve">Del subcaso al individuo. </w:t>
      </w:r>
      <w:r>
        <w:rPr>
          <w:sz w:val="22"/>
          <w:szCs w:val="22"/>
        </w:rPr>
        <w:t xml:space="preserve">El nivel individual revela un patrón que el análisis agregado por subcaso no podía mostrar: la congruencia multimodal es un atributo del compareciente, no del subcaso. La dispersión intra-subcaso es sustancial y, en varios casos, supera las diferencias entre subcasos.</w:t>
      </w:r>
    </w:p>
    <w:p>
      <w:pPr>
        <w:spacing w:after="120" w:line="276"/>
        <w:jc w:val="both"/>
      </w:pPr>
      <w:r>
        <w:rPr>
          <w:b/>
          <w:bCs/>
          <w:sz w:val="22"/>
          <w:szCs w:val="22"/>
        </w:rPr>
        <w:t xml:space="preserve">Casanare (Torres Escalante). </w:t>
      </w:r>
      <w:r>
        <w:rPr>
          <w:sz w:val="22"/>
          <w:szCs w:val="22"/>
        </w:rPr>
        <w:t xml:space="preserve">Único compareciente identificado del subcaso, presenta el hallazgo más interpretativo de la Capa 3: su canal vocal es el más alto del corpus (0.624) mientras su canal facial es comparativamente bajo (0.346). La divergencia vocal-facial (Δ=0.278) es la mayor del corpus —la voz comunica carga emocional mientras el rostro mantiene expresión contenida, con la sonrisa (AU12) más alta y el ceño (AU4) más bajo entre los comparecientes con buena detección.</w:t>
      </w:r>
    </w:p>
    <w:p>
      <w:pPr>
        <w:spacing w:after="120" w:line="276"/>
        <w:jc w:val="both"/>
      </w:pPr>
      <w:r>
        <w:rPr>
          <w:b/>
          <w:bCs/>
          <w:sz w:val="22"/>
          <w:szCs w:val="22"/>
        </w:rPr>
        <w:t xml:space="preserve">Catatumbo (Chaparro, Castro, Herrera). </w:t>
      </w:r>
      <w:r>
        <w:rPr>
          <w:sz w:val="22"/>
          <w:szCs w:val="22"/>
        </w:rPr>
        <w:t xml:space="preserve">Los tres comparecientes presentan ICM muy homogéneo (0.337–0.354). El Capitán Chaparro ejemplifica la disociación léxico-semántica analizada en §5.13: discurso gramaticalmente directo pero semánticamente el más distante del lenguaje de las víctimas. Catatumbo, primera audiencia de reconocimiento del Macrocaso 003, presenta el AU15 más alto del corpus.</w:t>
      </w:r>
    </w:p>
    <w:p>
      <w:pPr>
        <w:spacing w:after="120" w:line="276"/>
        <w:jc w:val="both"/>
      </w:pPr>
      <w:r>
        <w:rPr>
          <w:b/>
          <w:bCs/>
          <w:sz w:val="22"/>
          <w:szCs w:val="22"/>
        </w:rPr>
        <w:t xml:space="preserve">Dabeiba (12 comparecientes). </w:t>
      </w:r>
      <w:r>
        <w:rPr>
          <w:sz w:val="22"/>
          <w:szCs w:val="22"/>
        </w:rPr>
        <w:t xml:space="preserve">Presenta una de las mayores dispersiones del corpus (ICM de 0.242 a 0.498). La materialidad del acto de reconocimiento —los comparecientes guiaron a los investigadores a 49 fosas del cementerio Las Mercedes— coexiste con perfiles multimodales individuales diversos.</w:t>
      </w:r>
    </w:p>
    <w:p>
      <w:pPr>
        <w:spacing w:after="120" w:line="276"/>
        <w:jc w:val="both"/>
      </w:pPr>
      <w:r>
        <w:rPr>
          <w:b/>
          <w:bCs/>
          <w:sz w:val="22"/>
          <w:szCs w:val="22"/>
        </w:rPr>
        <w:t xml:space="preserve">Huila (26 comparecientes). </w:t>
      </w:r>
      <w:r>
        <w:rPr>
          <w:sz w:val="22"/>
          <w:szCs w:val="22"/>
        </w:rPr>
        <w:t xml:space="preserve">Subcaso más numeroso y de mayor dispersión (ICM de 0.243 a 0.579). Es también el subcaso semánticamente más cercano al lenguaje de las víctimas a nivel agregado. La amplitud del rango confirma que la congruencia multimodal es estrictamente individual.</w:t>
      </w:r>
    </w:p>
    <w:p>
      <w:pPr>
        <w:spacing w:after="120" w:line="276"/>
        <w:jc w:val="both"/>
      </w:pPr>
      <w:r>
        <w:rPr>
          <w:b/>
          <w:bCs/>
          <w:sz w:val="22"/>
          <w:szCs w:val="22"/>
        </w:rPr>
        <w:t xml:space="preserve">Costa Caribe (5 comparecientes). </w:t>
      </w:r>
      <w:r>
        <w:rPr>
          <w:sz w:val="22"/>
          <w:szCs w:val="22"/>
        </w:rPr>
        <w:t xml:space="preserve">Los cinco comparecientes (Batallón La Popa) presentan ICM entre 0.345 y 0.436, con cobertura facial y vocal completa tras la reextracción homogénea. Su incorporación completa el Corpus C en los cinco subcasos.</w:t>
      </w:r>
    </w:p>
    <w:p>
      <w:pPr>
        <w:pStyle w:val="Heading2"/>
        <w:spacing w:after="100" w:before="200"/>
      </w:pPr>
      <w:r>
        <w:rPr>
          <w:b/>
          <w:bCs/>
          <w:color w:val="1F3864"/>
          <w:sz w:val="26"/>
          <w:szCs w:val="26"/>
        </w:rPr>
        <w:t xml:space="preserve">5.12 Capa 3 — Disociación de canales como patrón estructural</w:t>
      </w:r>
    </w:p>
    <w:p>
      <w:pPr>
        <w:spacing w:after="120" w:line="276"/>
        <w:jc w:val="both"/>
      </w:pPr>
      <w:r>
        <w:rPr>
          <w:sz w:val="22"/>
          <w:szCs w:val="22"/>
        </w:rPr>
        <w:t xml:space="preserve">El análisis individual confirma el hallazgo central de la Capa 3: la disociación entre canales discursivos es el patrón estructural dominante de las audiencias de reconocimiento. En ningún compareciente los tres canales apuntan uniformemente en la misma dirección. Esta disociación adopta formas distintas: divergencia vocal-facial (paradigmáticamente Torres Escalante, Δ=0.278), disociación léxico-semántica (Chaparro, que usa el vocabulario de las víctimas en superficie pero permanece distante en el embedding profundo), o canal verbal reparador alto con canales no verbales contenidos. La existencia de estos perfiles heterogéneos —imposibles de detectar con un único canal— valida metodológicamente la arquitectura tri-canal del ICM y, más ampliamente, la arquitectura multi-capa del framework CFH.</w:t>
      </w:r>
    </w:p>
    <w:p>
      <w:pPr>
        <w:pStyle w:val="Heading2"/>
        <w:spacing w:after="100" w:before="200"/>
      </w:pPr>
      <w:r>
        <w:rPr>
          <w:b/>
          <w:bCs/>
          <w:color w:val="1F3864"/>
          <w:sz w:val="26"/>
          <w:szCs w:val="26"/>
        </w:rPr>
        <w:t xml:space="preserve">5.13 Índices sintéticos DIS e IEI: análisis tri-corpus y por subcaso</w:t>
      </w:r>
    </w:p>
    <w:p>
      <w:pPr>
        <w:spacing w:after="120" w:line="276"/>
        <w:jc w:val="both"/>
      </w:pPr>
      <w:r>
        <w:rPr>
          <w:b/>
          <w:bCs/>
          <w:sz w:val="22"/>
          <w:szCs w:val="22"/>
        </w:rPr>
        <w:t xml:space="preserve">Definición y normalización (opción A). </w:t>
      </w:r>
      <w:r>
        <w:rPr>
          <w:sz w:val="22"/>
          <w:szCs w:val="22"/>
        </w:rPr>
        <w:t xml:space="preserve">Los índices sintéticos DIS (Injusticia Discursiva) e IEI (Injusticia Epistémica) se definen sobre indicadores previamente normalizados mediante z-score seguido de función sigmoide sobre la distribución conjunta A+B+C. En su formulación definitiva —opción A— los dos índices no comparten ningún indicador, lo que garantiza dimensiones conceptualmente limpias:</w:t>
      </w:r>
    </w:p>
    <w:p>
      <w:pPr>
        <w:spacing w:after="80"/>
        <w:jc w:val="center"/>
      </w:pPr>
      <w:r>
        <w:rPr>
          <w:i/>
          <w:iCs/>
          <w:sz w:val="22"/>
          <w:szCs w:val="22"/>
        </w:rPr>
        <w:t xml:space="preserve">DIS = 0.40·EBI + 0.30·SA + 0.30·(1−REP)</w:t>
      </w:r>
    </w:p>
    <w:p>
      <w:pPr>
        <w:spacing w:after="120"/>
        <w:jc w:val="center"/>
      </w:pPr>
      <w:r>
        <w:rPr>
          <w:i/>
          <w:iCs/>
          <w:sz w:val="22"/>
          <w:szCs w:val="22"/>
        </w:rPr>
        <w:t xml:space="preserve">IEI = 0.40·MAFAPO + 0.30·CIDH + 0.30·NV</w:t>
      </w:r>
    </w:p>
    <w:p>
      <w:pPr>
        <w:spacing w:after="120" w:line="276"/>
        <w:jc w:val="both"/>
      </w:pPr>
      <w:r>
        <w:rPr>
          <w:sz w:val="22"/>
          <w:szCs w:val="22"/>
        </w:rPr>
        <w:t xml:space="preserve">El DIS agrupa los mecanismos discursivos de superficie (eufemismo bélico, supresión de agentividad y ausencia de reparación); el IEI operacionaliza el marco de Fricker (2007) mediante la distancia semántica al lenguaje de las víctimas (y₈), la distancia a estándares de derechos humanos (y₉) y la negación de victimización como déficit de credibilidad testimonial (y₄). Los pesos son teóricos —fundados en los marcos de Galtung y Fricker— y no fueron optimizados sobre los datos, lo que evita el sobreajuste y preserva la interpretabilidad de los índices. La elección de la opción A sobre alternativas que ubican REP en ambos índices tiene doble respaldo: teórico (índices sin indicadores compartidos) y empírico (la correlación DIS-IEI es más baja, ρ=0.164).</w:t>
      </w:r>
    </w:p>
    <w:p>
      <w:pPr>
        <w:pStyle w:val="Heading3"/>
        <w:spacing w:after="80" w:before="160"/>
      </w:pPr>
      <w:r>
        <w:rPr>
          <w:b/>
          <w:bCs/>
          <w:color w:val="1F3864"/>
          <w:sz w:val="23"/>
          <w:szCs w:val="23"/>
        </w:rPr>
        <w:t xml:space="preserve">5.13.1 Análisis tri-corpus</w:t>
      </w:r>
    </w:p>
    <w:p>
      <w:pPr>
        <w:spacing w:after="60" w:before="60"/>
      </w:pPr>
      <w:r>
        <w:rPr>
          <w:i/>
          <w:iCs/>
          <w:color w:val="595959"/>
          <w:sz w:val="19"/>
          <w:szCs w:val="19"/>
        </w:rPr>
        <w:t xml:space="preserve">Tabla 5.9. DIS e IEI por corpus (opción A, normalización conjunta A+B+C, n=946). Mayor valor = mayor injusticia.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2600"/>
        <w:gridCol w:w="2600"/>
        <w:gridCol w:w="2400"/>
      </w:tblGrid>
      <w:tr>
        <w:trPr>
          <w:tblHeader/>
        </w:trPr>
        <w:tc>
          <w:tcPr>
            <w:tcW w:type="dxa" w:w="1760"/>
            <w:shd w:fill="1F3864" w:val="clear"/>
          </w:tcPr>
          <w:p>
            <w:pPr>
              <w:jc w:val="center"/>
            </w:pPr>
            <w:r>
              <w:rPr>
                <w:b/>
                <w:bCs/>
                <w:color w:val="FFFFFF"/>
                <w:sz w:val="19"/>
                <w:szCs w:val="19"/>
              </w:rPr>
              <w:t xml:space="preserve">Índice</w:t>
            </w:r>
          </w:p>
        </w:tc>
        <w:tc>
          <w:tcPr>
            <w:tcW w:type="dxa" w:w="2600"/>
            <w:shd w:fill="1F3864" w:val="clear"/>
          </w:tcPr>
          <w:p>
            <w:pPr>
              <w:jc w:val="center"/>
            </w:pPr>
            <w:r>
              <w:rPr>
                <w:b/>
                <w:bCs/>
                <w:color w:val="FFFFFF"/>
                <w:sz w:val="19"/>
                <w:szCs w:val="19"/>
              </w:rPr>
              <w:t xml:space="preserve">Corpus A (ordinaria)</w:t>
            </w:r>
          </w:p>
        </w:tc>
        <w:tc>
          <w:tcPr>
            <w:tcW w:type="dxa" w:w="2600"/>
            <w:shd w:fill="1F3864" w:val="clear"/>
          </w:tcPr>
          <w:p>
            <w:pPr>
              <w:jc w:val="center"/>
            </w:pPr>
            <w:r>
              <w:rPr>
                <w:b/>
                <w:bCs/>
                <w:color w:val="FFFFFF"/>
                <w:sz w:val="19"/>
                <w:szCs w:val="19"/>
              </w:rPr>
              <w:t xml:space="preserve">Corpus B (JEP escrita)</w:t>
            </w:r>
          </w:p>
        </w:tc>
        <w:tc>
          <w:tcPr>
            <w:tcW w:type="dxa" w:w="2400"/>
            <w:shd w:fill="1F3864" w:val="clear"/>
          </w:tcPr>
          <w:p>
            <w:pPr>
              <w:jc w:val="center"/>
            </w:pPr>
            <w:r>
              <w:rPr>
                <w:b/>
                <w:bCs/>
                <w:color w:val="FFFFFF"/>
                <w:sz w:val="19"/>
                <w:szCs w:val="19"/>
              </w:rPr>
              <w:t xml:space="preserve">Corpus C (JEP oral)</w:t>
            </w:r>
          </w:p>
        </w:tc>
      </w:tr>
      <w:tr>
        <w:tc>
          <w:tcPr>
            <w:tcW w:type="dxa" w:w="1760"/>
            <w:shd w:fill="FFFFFF" w:val="clear"/>
          </w:tcPr>
          <w:p>
            <w:pPr>
              <w:jc w:val="left"/>
            </w:pPr>
            <w:r>
              <w:rPr>
                <w:b/>
                <w:bCs/>
                <w:sz w:val="19"/>
                <w:szCs w:val="19"/>
              </w:rPr>
              <w:t xml:space="preserve">DIS</w:t>
            </w:r>
          </w:p>
        </w:tc>
        <w:tc>
          <w:tcPr>
            <w:tcW w:type="dxa" w:w="2600"/>
            <w:shd w:fill="FFFFFF" w:val="clear"/>
          </w:tcPr>
          <w:p>
            <w:pPr>
              <w:jc w:val="center"/>
            </w:pPr>
            <w:r>
              <w:rPr>
                <w:b w:val="false"/>
                <w:bCs w:val="false"/>
                <w:sz w:val="19"/>
                <w:szCs w:val="19"/>
              </w:rPr>
              <w:t xml:space="preserve">0.510</w:t>
            </w:r>
          </w:p>
        </w:tc>
        <w:tc>
          <w:tcPr>
            <w:tcW w:type="dxa" w:w="2600"/>
            <w:shd w:fill="FFFFFF" w:val="clear"/>
          </w:tcPr>
          <w:p>
            <w:pPr>
              <w:jc w:val="center"/>
            </w:pPr>
            <w:r>
              <w:rPr>
                <w:b w:val="false"/>
                <w:bCs w:val="false"/>
                <w:sz w:val="19"/>
                <w:szCs w:val="19"/>
              </w:rPr>
              <w:t xml:space="preserve">0.498</w:t>
            </w:r>
          </w:p>
        </w:tc>
        <w:tc>
          <w:tcPr>
            <w:tcW w:type="dxa" w:w="2400"/>
            <w:shd w:fill="FFFFFF" w:val="clear"/>
          </w:tcPr>
          <w:p>
            <w:pPr>
              <w:jc w:val="center"/>
            </w:pPr>
            <w:r>
              <w:rPr>
                <w:b w:val="false"/>
                <w:bCs w:val="false"/>
                <w:sz w:val="19"/>
                <w:szCs w:val="19"/>
              </w:rPr>
              <w:t xml:space="preserve">0.394</w:t>
            </w:r>
          </w:p>
        </w:tc>
      </w:tr>
      <w:tr>
        <w:tc>
          <w:tcPr>
            <w:tcW w:type="dxa" w:w="1760"/>
            <w:shd w:fill="F2F2F2" w:val="clear"/>
          </w:tcPr>
          <w:p>
            <w:pPr>
              <w:jc w:val="left"/>
            </w:pPr>
            <w:r>
              <w:rPr>
                <w:b/>
                <w:bCs/>
                <w:sz w:val="19"/>
                <w:szCs w:val="19"/>
              </w:rPr>
              <w:t xml:space="preserve">IEI</w:t>
            </w:r>
          </w:p>
        </w:tc>
        <w:tc>
          <w:tcPr>
            <w:tcW w:type="dxa" w:w="2600"/>
            <w:shd w:fill="F2F2F2" w:val="clear"/>
          </w:tcPr>
          <w:p>
            <w:pPr>
              <w:jc w:val="center"/>
            </w:pPr>
            <w:r>
              <w:rPr>
                <w:b w:val="false"/>
                <w:bCs w:val="false"/>
                <w:sz w:val="19"/>
                <w:szCs w:val="19"/>
              </w:rPr>
              <w:t xml:space="preserve">0.513</w:t>
            </w:r>
          </w:p>
        </w:tc>
        <w:tc>
          <w:tcPr>
            <w:tcW w:type="dxa" w:w="2600"/>
            <w:shd w:fill="F2F2F2" w:val="clear"/>
          </w:tcPr>
          <w:p>
            <w:pPr>
              <w:jc w:val="center"/>
            </w:pPr>
            <w:r>
              <w:rPr>
                <w:b w:val="false"/>
                <w:bCs w:val="false"/>
                <w:sz w:val="19"/>
                <w:szCs w:val="19"/>
              </w:rPr>
              <w:t xml:space="preserve">0.353</w:t>
            </w:r>
          </w:p>
        </w:tc>
        <w:tc>
          <w:tcPr>
            <w:tcW w:type="dxa" w:w="2400"/>
            <w:shd w:fill="F2F2F2" w:val="clear"/>
          </w:tcPr>
          <w:p>
            <w:pPr>
              <w:jc w:val="center"/>
            </w:pPr>
            <w:r>
              <w:rPr>
                <w:b w:val="false"/>
                <w:bCs w:val="false"/>
                <w:sz w:val="19"/>
                <w:szCs w:val="19"/>
              </w:rPr>
              <w:t xml:space="preserve">0.370</w:t>
            </w:r>
          </w:p>
        </w:tc>
      </w:tr>
    </w:tbl>
    <w:p>
      <w:pPr>
        <w:spacing w:after="120" w:line="276"/>
        <w:jc w:val="both"/>
      </w:pPr>
      <w:r>
        <w:rPr>
          <w:sz w:val="22"/>
          <w:szCs w:val="22"/>
        </w:rPr>
        <w:t xml:space="preserve">El hallazgo central del análisis tri-corpus es que el IEI separa nítidamente la justicia ordinaria de la transicional: el Corpus A (0.513) presenta una injusticia epistémica sustancialmente mayor que los corpus de la JEP escrita (0.353) y oral (0.370), con una brecha de aproximadamente 0.15 puntos en la dirección predicha por la hipótesis de corrección epistémica. El DIS, en cambio, resulta transversal entre los sistemas escritos (A=0.510, B=0.498), reduciéndose solo en el registro oral (C=0.394). Esta disociación es teóricamente significativa: la JEP corrige la injusticia epistémica —adopta el léxico de las víctimas y reduce el déficit de credibilidad— sin alterar sustancialmente las convenciones discursivas de superficie propias del género jurídico, que el DIS captura y que resultan compartidas por ambos sistemas escritos.</w:t>
      </w:r>
    </w:p>
    <w:p>
      <w:pPr>
        <w:pStyle w:val="Heading3"/>
        <w:spacing w:after="80" w:before="160"/>
      </w:pPr>
      <w:r>
        <w:rPr>
          <w:b/>
          <w:bCs/>
          <w:color w:val="1F3864"/>
          <w:sz w:val="23"/>
          <w:szCs w:val="23"/>
        </w:rPr>
        <w:t xml:space="preserve">5.13.2 Análisis por subcaso del Corpus C</w:t>
      </w:r>
    </w:p>
    <w:p>
      <w:pPr>
        <w:spacing w:after="60" w:before="60"/>
      </w:pPr>
      <w:r>
        <w:rPr>
          <w:i/>
          <w:iCs/>
          <w:color w:val="595959"/>
          <w:sz w:val="19"/>
          <w:szCs w:val="19"/>
        </w:rPr>
        <w:t xml:space="preserve">Tabla 5.10. DIS e IEI por subcaso del Corpus C (opción A, misma normalización conjunta). n = comparecientes. Casanare (n=1) y Catatumbo (n=3) tienen n bajo: sus medias son ilustrativas, no representativas de un grupo amplio.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1400"/>
        <w:gridCol w:w="3260"/>
      </w:tblGrid>
      <w:tr>
        <w:trPr>
          <w:tblHeader/>
        </w:trPr>
        <w:tc>
          <w:tcPr>
            <w:tcW w:type="dxa" w:w="2400"/>
            <w:shd w:fill="1F3864" w:val="clear"/>
          </w:tcPr>
          <w:p>
            <w:pPr>
              <w:jc w:val="center"/>
            </w:pPr>
            <w:r>
              <w:rPr>
                <w:b/>
                <w:bCs/>
                <w:color w:val="FFFFFF"/>
                <w:sz w:val="19"/>
                <w:szCs w:val="19"/>
              </w:rPr>
              <w:t xml:space="preserve">Subcaso</w:t>
            </w:r>
          </w:p>
        </w:tc>
        <w:tc>
          <w:tcPr>
            <w:tcW w:type="dxa" w:w="900"/>
            <w:shd w:fill="1F3864" w:val="clear"/>
          </w:tcPr>
          <w:p>
            <w:pPr>
              <w:jc w:val="center"/>
            </w:pPr>
            <w:r>
              <w:rPr>
                <w:b/>
                <w:bCs/>
                <w:color w:val="FFFFFF"/>
                <w:sz w:val="19"/>
                <w:szCs w:val="19"/>
              </w:rPr>
              <w:t xml:space="preserve">n</w:t>
            </w:r>
          </w:p>
        </w:tc>
        <w:tc>
          <w:tcPr>
            <w:tcW w:type="dxa" w:w="1400"/>
            <w:shd w:fill="1F3864" w:val="clear"/>
          </w:tcPr>
          <w:p>
            <w:pPr>
              <w:jc w:val="center"/>
            </w:pPr>
            <w:r>
              <w:rPr>
                <w:b/>
                <w:bCs/>
                <w:color w:val="FFFFFF"/>
                <w:sz w:val="19"/>
                <w:szCs w:val="19"/>
              </w:rPr>
              <w:t xml:space="preserve">DIS</w:t>
            </w:r>
          </w:p>
        </w:tc>
        <w:tc>
          <w:tcPr>
            <w:tcW w:type="dxa" w:w="1400"/>
            <w:shd w:fill="1F3864" w:val="clear"/>
          </w:tcPr>
          <w:p>
            <w:pPr>
              <w:jc w:val="center"/>
            </w:pPr>
            <w:r>
              <w:rPr>
                <w:b/>
                <w:bCs/>
                <w:color w:val="FFFFFF"/>
                <w:sz w:val="19"/>
                <w:szCs w:val="19"/>
              </w:rPr>
              <w:t xml:space="preserve">IEI</w:t>
            </w:r>
          </w:p>
        </w:tc>
        <w:tc>
          <w:tcPr>
            <w:tcW w:type="dxa" w:w="3260"/>
            <w:shd w:fill="1F3864" w:val="clear"/>
          </w:tcPr>
          <w:p>
            <w:pPr>
              <w:jc w:val="center"/>
            </w:pPr>
            <w:r>
              <w:rPr>
                <w:b/>
                <w:bCs/>
                <w:color w:val="FFFFFF"/>
                <w:sz w:val="19"/>
                <w:szCs w:val="19"/>
              </w:rPr>
              <w:t xml:space="preserve">Patrón</w:t>
            </w:r>
          </w:p>
        </w:tc>
      </w:tr>
      <w:tr>
        <w:tc>
          <w:tcPr>
            <w:tcW w:type="dxa" w:w="2400"/>
            <w:shd w:fill="FFFFFF" w:val="clear"/>
          </w:tcPr>
          <w:p>
            <w:pPr>
              <w:jc w:val="left"/>
            </w:pPr>
            <w:r>
              <w:rPr>
                <w:b/>
                <w:bCs/>
                <w:sz w:val="19"/>
                <w:szCs w:val="19"/>
              </w:rPr>
              <w:t xml:space="preserve">Casanare</w:t>
            </w:r>
          </w:p>
        </w:tc>
        <w:tc>
          <w:tcPr>
            <w:tcW w:type="dxa" w:w="900"/>
            <w:shd w:fill="FFFFFF" w:val="clear"/>
          </w:tcPr>
          <w:p>
            <w:pPr>
              <w:jc w:val="center"/>
            </w:pPr>
            <w:r>
              <w:rPr>
                <w:b w:val="false"/>
                <w:bCs w:val="false"/>
                <w:sz w:val="19"/>
                <w:szCs w:val="19"/>
              </w:rPr>
              <w:t xml:space="preserve">1</w:t>
            </w:r>
          </w:p>
        </w:tc>
        <w:tc>
          <w:tcPr>
            <w:tcW w:type="dxa" w:w="1400"/>
            <w:shd w:fill="FFFFFF" w:val="clear"/>
          </w:tcPr>
          <w:p>
            <w:pPr>
              <w:jc w:val="center"/>
            </w:pPr>
            <w:r>
              <w:rPr>
                <w:b w:val="false"/>
                <w:bCs w:val="false"/>
                <w:sz w:val="19"/>
                <w:szCs w:val="19"/>
              </w:rPr>
              <w:t xml:space="preserve">0.520</w:t>
            </w:r>
          </w:p>
        </w:tc>
        <w:tc>
          <w:tcPr>
            <w:tcW w:type="dxa" w:w="1400"/>
            <w:shd w:fill="FFFFFF" w:val="clear"/>
          </w:tcPr>
          <w:p>
            <w:pPr>
              <w:jc w:val="center"/>
            </w:pPr>
            <w:r>
              <w:rPr>
                <w:b w:val="false"/>
                <w:bCs w:val="false"/>
                <w:sz w:val="19"/>
                <w:szCs w:val="19"/>
              </w:rPr>
              <w:t xml:space="preserve">0.570</w:t>
            </w:r>
          </w:p>
        </w:tc>
        <w:tc>
          <w:tcPr>
            <w:tcW w:type="dxa" w:w="3260"/>
            <w:shd w:fill="FFFFFF" w:val="clear"/>
          </w:tcPr>
          <w:p>
            <w:pPr>
              <w:jc w:val="center"/>
            </w:pPr>
            <w:r>
              <w:rPr>
                <w:b w:val="false"/>
                <w:bCs w:val="false"/>
                <w:sz w:val="19"/>
                <w:szCs w:val="19"/>
              </w:rPr>
              <w:t xml:space="preserve">IEI &gt; DIS</w:t>
            </w:r>
          </w:p>
        </w:tc>
      </w:tr>
      <w:tr>
        <w:tc>
          <w:tcPr>
            <w:tcW w:type="dxa" w:w="2400"/>
            <w:shd w:fill="F2F2F2" w:val="clear"/>
          </w:tcPr>
          <w:p>
            <w:pPr>
              <w:jc w:val="left"/>
            </w:pPr>
            <w:r>
              <w:rPr>
                <w:b/>
                <w:bCs/>
                <w:sz w:val="19"/>
                <w:szCs w:val="19"/>
              </w:rPr>
              <w:t xml:space="preserve">Catatumbo</w:t>
            </w:r>
          </w:p>
        </w:tc>
        <w:tc>
          <w:tcPr>
            <w:tcW w:type="dxa" w:w="900"/>
            <w:shd w:fill="F2F2F2" w:val="clear"/>
          </w:tcPr>
          <w:p>
            <w:pPr>
              <w:jc w:val="center"/>
            </w:pPr>
            <w:r>
              <w:rPr>
                <w:b w:val="false"/>
                <w:bCs w:val="false"/>
                <w:sz w:val="19"/>
                <w:szCs w:val="19"/>
              </w:rPr>
              <w:t xml:space="preserve">3</w:t>
            </w:r>
          </w:p>
        </w:tc>
        <w:tc>
          <w:tcPr>
            <w:tcW w:type="dxa" w:w="1400"/>
            <w:shd w:fill="F2F2F2" w:val="clear"/>
          </w:tcPr>
          <w:p>
            <w:pPr>
              <w:jc w:val="center"/>
            </w:pPr>
            <w:r>
              <w:rPr>
                <w:b w:val="false"/>
                <w:bCs w:val="false"/>
                <w:sz w:val="19"/>
                <w:szCs w:val="19"/>
              </w:rPr>
              <w:t xml:space="preserve">0.509</w:t>
            </w:r>
          </w:p>
        </w:tc>
        <w:tc>
          <w:tcPr>
            <w:tcW w:type="dxa" w:w="1400"/>
            <w:shd w:fill="F2F2F2" w:val="clear"/>
          </w:tcPr>
          <w:p>
            <w:pPr>
              <w:jc w:val="center"/>
            </w:pPr>
            <w:r>
              <w:rPr>
                <w:b w:val="false"/>
                <w:bCs w:val="false"/>
                <w:sz w:val="19"/>
                <w:szCs w:val="19"/>
              </w:rPr>
              <w:t xml:space="preserve">0.451</w:t>
            </w:r>
          </w:p>
        </w:tc>
        <w:tc>
          <w:tcPr>
            <w:tcW w:type="dxa" w:w="3260"/>
            <w:shd w:fill="F2F2F2" w:val="clear"/>
          </w:tcPr>
          <w:p>
            <w:pPr>
              <w:jc w:val="center"/>
            </w:pPr>
            <w:r>
              <w:rPr>
                <w:b w:val="false"/>
                <w:bCs w:val="false"/>
                <w:sz w:val="19"/>
                <w:szCs w:val="19"/>
              </w:rPr>
              <w:t xml:space="preserve">DIS &gt; IEI</w:t>
            </w:r>
          </w:p>
        </w:tc>
      </w:tr>
      <w:tr>
        <w:tc>
          <w:tcPr>
            <w:tcW w:type="dxa" w:w="2400"/>
            <w:shd w:fill="FFFFFF" w:val="clear"/>
          </w:tcPr>
          <w:p>
            <w:pPr>
              <w:jc w:val="left"/>
            </w:pPr>
            <w:r>
              <w:rPr>
                <w:b/>
                <w:bCs/>
                <w:sz w:val="19"/>
                <w:szCs w:val="19"/>
              </w:rPr>
              <w:t xml:space="preserve">Costa Caribe</w:t>
            </w:r>
          </w:p>
        </w:tc>
        <w:tc>
          <w:tcPr>
            <w:tcW w:type="dxa" w:w="900"/>
            <w:shd w:fill="FFFFFF" w:val="clear"/>
          </w:tcPr>
          <w:p>
            <w:pPr>
              <w:jc w:val="center"/>
            </w:pPr>
            <w:r>
              <w:rPr>
                <w:b w:val="false"/>
                <w:bCs w:val="false"/>
                <w:sz w:val="19"/>
                <w:szCs w:val="19"/>
              </w:rPr>
              <w:t xml:space="preserve">5</w:t>
            </w:r>
          </w:p>
        </w:tc>
        <w:tc>
          <w:tcPr>
            <w:tcW w:type="dxa" w:w="1400"/>
            <w:shd w:fill="FFFFFF" w:val="clear"/>
          </w:tcPr>
          <w:p>
            <w:pPr>
              <w:jc w:val="center"/>
            </w:pPr>
            <w:r>
              <w:rPr>
                <w:b w:val="false"/>
                <w:bCs w:val="false"/>
                <w:sz w:val="19"/>
                <w:szCs w:val="19"/>
              </w:rPr>
              <w:t xml:space="preserve">0.412</w:t>
            </w:r>
          </w:p>
        </w:tc>
        <w:tc>
          <w:tcPr>
            <w:tcW w:type="dxa" w:w="1400"/>
            <w:shd w:fill="FFFFFF" w:val="clear"/>
          </w:tcPr>
          <w:p>
            <w:pPr>
              <w:jc w:val="center"/>
            </w:pPr>
            <w:r>
              <w:rPr>
                <w:b w:val="false"/>
                <w:bCs w:val="false"/>
                <w:sz w:val="19"/>
                <w:szCs w:val="19"/>
              </w:rPr>
              <w:t xml:space="preserve">0.365</w:t>
            </w:r>
          </w:p>
        </w:tc>
        <w:tc>
          <w:tcPr>
            <w:tcW w:type="dxa" w:w="3260"/>
            <w:shd w:fill="FFFFFF" w:val="clear"/>
          </w:tcPr>
          <w:p>
            <w:pPr>
              <w:jc w:val="center"/>
            </w:pPr>
            <w:r>
              <w:rPr>
                <w:b w:val="false"/>
                <w:bCs w:val="false"/>
                <w:sz w:val="19"/>
                <w:szCs w:val="19"/>
              </w:rPr>
              <w:t xml:space="preserve">DIS &gt; IEI</w:t>
            </w:r>
          </w:p>
        </w:tc>
      </w:tr>
      <w:tr>
        <w:tc>
          <w:tcPr>
            <w:tcW w:type="dxa" w:w="2400"/>
            <w:shd w:fill="F2F2F2" w:val="clear"/>
          </w:tcPr>
          <w:p>
            <w:pPr>
              <w:jc w:val="left"/>
            </w:pPr>
            <w:r>
              <w:rPr>
                <w:b/>
                <w:bCs/>
                <w:sz w:val="19"/>
                <w:szCs w:val="19"/>
              </w:rPr>
              <w:t xml:space="preserve">Dabeiba</w:t>
            </w:r>
          </w:p>
        </w:tc>
        <w:tc>
          <w:tcPr>
            <w:tcW w:type="dxa" w:w="900"/>
            <w:shd w:fill="F2F2F2" w:val="clear"/>
          </w:tcPr>
          <w:p>
            <w:pPr>
              <w:jc w:val="center"/>
            </w:pPr>
            <w:r>
              <w:rPr>
                <w:b w:val="false"/>
                <w:bCs w:val="false"/>
                <w:sz w:val="19"/>
                <w:szCs w:val="19"/>
              </w:rPr>
              <w:t xml:space="preserve">12</w:t>
            </w:r>
          </w:p>
        </w:tc>
        <w:tc>
          <w:tcPr>
            <w:tcW w:type="dxa" w:w="1400"/>
            <w:shd w:fill="F2F2F2" w:val="clear"/>
          </w:tcPr>
          <w:p>
            <w:pPr>
              <w:jc w:val="center"/>
            </w:pPr>
            <w:r>
              <w:rPr>
                <w:b w:val="false"/>
                <w:bCs w:val="false"/>
                <w:sz w:val="19"/>
                <w:szCs w:val="19"/>
              </w:rPr>
              <w:t xml:space="preserve">0.402</w:t>
            </w:r>
          </w:p>
        </w:tc>
        <w:tc>
          <w:tcPr>
            <w:tcW w:type="dxa" w:w="1400"/>
            <w:shd w:fill="F2F2F2" w:val="clear"/>
          </w:tcPr>
          <w:p>
            <w:pPr>
              <w:jc w:val="center"/>
            </w:pPr>
            <w:r>
              <w:rPr>
                <w:b w:val="false"/>
                <w:bCs w:val="false"/>
                <w:sz w:val="19"/>
                <w:szCs w:val="19"/>
              </w:rPr>
              <w:t xml:space="preserve">0.370</w:t>
            </w:r>
          </w:p>
        </w:tc>
        <w:tc>
          <w:tcPr>
            <w:tcW w:type="dxa" w:w="3260"/>
            <w:shd w:fill="F2F2F2" w:val="clear"/>
          </w:tcPr>
          <w:p>
            <w:pPr>
              <w:jc w:val="center"/>
            </w:pPr>
            <w:r>
              <w:rPr>
                <w:b w:val="false"/>
                <w:bCs w:val="false"/>
                <w:sz w:val="19"/>
                <w:szCs w:val="19"/>
              </w:rPr>
              <w:t xml:space="preserve">DIS &gt; IEI</w:t>
            </w:r>
          </w:p>
        </w:tc>
      </w:tr>
      <w:tr>
        <w:tc>
          <w:tcPr>
            <w:tcW w:type="dxa" w:w="2400"/>
            <w:shd w:fill="FFFFFF" w:val="clear"/>
          </w:tcPr>
          <w:p>
            <w:pPr>
              <w:jc w:val="left"/>
            </w:pPr>
            <w:r>
              <w:rPr>
                <w:b/>
                <w:bCs/>
                <w:sz w:val="19"/>
                <w:szCs w:val="19"/>
              </w:rPr>
              <w:t xml:space="preserve">Huila</w:t>
            </w:r>
          </w:p>
        </w:tc>
        <w:tc>
          <w:tcPr>
            <w:tcW w:type="dxa" w:w="900"/>
            <w:shd w:fill="FFFFFF" w:val="clear"/>
          </w:tcPr>
          <w:p>
            <w:pPr>
              <w:jc w:val="center"/>
            </w:pPr>
            <w:r>
              <w:rPr>
                <w:b w:val="false"/>
                <w:bCs w:val="false"/>
                <w:sz w:val="19"/>
                <w:szCs w:val="19"/>
              </w:rPr>
              <w:t xml:space="preserve">26</w:t>
            </w:r>
          </w:p>
        </w:tc>
        <w:tc>
          <w:tcPr>
            <w:tcW w:type="dxa" w:w="1400"/>
            <w:shd w:fill="FFFFFF" w:val="clear"/>
          </w:tcPr>
          <w:p>
            <w:pPr>
              <w:jc w:val="center"/>
            </w:pPr>
            <w:r>
              <w:rPr>
                <w:b w:val="false"/>
                <w:bCs w:val="false"/>
                <w:sz w:val="19"/>
                <w:szCs w:val="19"/>
              </w:rPr>
              <w:t xml:space="preserve">0.369</w:t>
            </w:r>
          </w:p>
        </w:tc>
        <w:tc>
          <w:tcPr>
            <w:tcW w:type="dxa" w:w="1400"/>
            <w:shd w:fill="FFFFFF" w:val="clear"/>
          </w:tcPr>
          <w:p>
            <w:pPr>
              <w:jc w:val="center"/>
            </w:pPr>
            <w:r>
              <w:rPr>
                <w:b w:val="false"/>
                <w:bCs w:val="false"/>
                <w:sz w:val="19"/>
                <w:szCs w:val="19"/>
              </w:rPr>
              <w:t xml:space="preserve">0.354</w:t>
            </w:r>
          </w:p>
        </w:tc>
        <w:tc>
          <w:tcPr>
            <w:tcW w:type="dxa" w:w="3260"/>
            <w:shd w:fill="FFFFFF" w:val="clear"/>
          </w:tcPr>
          <w:p>
            <w:pPr>
              <w:jc w:val="center"/>
            </w:pPr>
            <w:r>
              <w:rPr>
                <w:b w:val="false"/>
                <w:bCs w:val="false"/>
                <w:sz w:val="19"/>
                <w:szCs w:val="19"/>
              </w:rPr>
              <w:t xml:space="preserve">DIS &gt; IEI</w:t>
            </w:r>
          </w:p>
        </w:tc>
      </w:tr>
    </w:tbl>
    <w:p>
      <w:pPr>
        <w:spacing w:after="120" w:line="276"/>
        <w:jc w:val="both"/>
      </w:pPr>
      <w:r>
        <w:rPr>
          <w:sz w:val="22"/>
          <w:szCs w:val="22"/>
        </w:rPr>
        <w:t xml:space="preserve">El análisis por subcaso es complementario del tri-corpus y plenamente coherente con él: la media ponderada de los 47 comparecientes reproduce exactamente los valores del Corpus C en la tabla anterior (DIS=0.394, IEI=0.370). El gradiente por rango militar es visible —Casanare (General Torres Escalante) encabeza ambos índices y Huila (soldados y suboficiales) presenta los valores más bajos—, si bien Casanare (n=1) y Catatumbo (n=3) deben leerse con la cautela que impone su reducido tamaño. Casanare presenta además el único patrón IEI&gt;DIS del corpus: un perfil donde la injusticia epistémica excede a la discursiva, coherente con su máxima distancia semántica al lenguaje de las víctimas. Huila (n=26) y Dabeiba (n=12), los subcasos con mayor número de comparecientes, ofrecen la evidencia más robusta y confirman el perfil de menor injusticia de los comparecientes de menor rango.</w:t>
      </w:r>
    </w:p>
    <w:p>
      <w:pPr>
        <w:pStyle w:val="Heading3"/>
        <w:spacing w:after="80" w:before="160"/>
      </w:pPr>
      <w:r>
        <w:rPr>
          <w:b/>
          <w:bCs/>
          <w:color w:val="1F3864"/>
          <w:sz w:val="23"/>
          <w:szCs w:val="23"/>
        </w:rPr>
        <w:t xml:space="preserve">5.13.3 Robustez del DIS agregado frente a sus componentes</w:t>
      </w:r>
    </w:p>
    <w:p>
      <w:pPr>
        <w:spacing w:after="120" w:line="276"/>
        <w:jc w:val="both"/>
      </w:pPr>
      <w:r>
        <w:rPr>
          <w:b/>
          <w:bCs/>
          <w:sz w:val="22"/>
          <w:szCs w:val="22"/>
        </w:rPr>
        <w:t>Una no-diferencia robusta, no un artefacto. El DIS Score, como índice agregado, no distingue significativamente la justicia ordinaria (A=0.510) de la justicia transicional escrita (B=0.498): la prueba de Mann-Whitney arroja p=0.0688. Este resultado se sometió a verificación sistemática bajo esquemas alternativos de normalización, incluido el cálculo sobre indicadores crudos —invariante ante cualquier transformación monótona—, que también arroja no-significancia. La ausencia de diferencia no es producto del esquema de normalización elegido, sino una propiedad de los datos: en el agregado, la distancia discursiva de superficie entre la justicia ordinaria y la JEP escrita no alcanza significancia estadística.</w:t>
      </w:r>
      <w:r>
        <w:rPr>
          <w:sz w:val="22"/>
          <w:szCs w:val="22"/>
        </w:rPr>
      </w:r>
    </w:p>
    <w:p>
      <w:pPr>
        <w:spacing w:after="120" w:line="276"/>
        <w:jc w:val="both"/>
      </w:pPr>
      <w:r>
        <w:rPr>
          <w:b/>
          <w:bCs/>
          <w:sz w:val="22"/>
          <w:szCs w:val="22"/>
        </w:rPr>
        <w:t xml:space="preserve">La causa: dilución por agregación. </w:t>
      </w:r>
      <w:r>
        <w:rPr>
          <w:sz w:val="22"/>
          <w:szCs w:val="22"/>
        </w:rPr>
        <w:t xml:space="preserve">El DIS agrega indicadores con comportamientos heterogéneos frente a la comparación A vs B: la Supresión de Agentividad (y₂), transversal al género jurídico (p=0.944); la Negación de Victimización (y₄), de efecto trivial; y la Ruptura Epistémica Positiva (y₁₀), que discrimina con fuerza (p&lt;0.001, d=0.61). Al promediar un indicador no discriminante con uno fuertemente discriminante, el índice compuesto diluye la señal. La no-significancia del DIS agregado es, por tanto, un efecto de agregación, no la ausencia de una transición discursiva.</w:t>
      </w:r>
    </w:p>
    <w:p>
      <w:pPr>
        <w:spacing w:after="120" w:line="276"/>
        <w:jc w:val="both"/>
      </w:pPr>
      <w:r>
        <w:rPr>
          <w:b/>
          <w:bCs/>
          <w:sz w:val="22"/>
          <w:szCs w:val="22"/>
        </w:rPr>
        <w:t xml:space="preserve">Reorientación del hallazgo. </w:t>
      </w:r>
      <w:r>
        <w:rPr>
          <w:sz w:val="22"/>
          <w:szCs w:val="22"/>
        </w:rPr>
        <w:t xml:space="preserve">Este diagnóstico precisa la contribución del framework: su aporte no es un índice discursivo global que separe los corpus, sino la capacidad de identificar qué dimensiones específicas de la injusticia constituyen la signatura medible de la transición. La Ruptura Epistémica Positiva (y₁₀) y la cercanía semántica al lenguaje de las víctimas, sintetizada en el IEI, son los marcadores que distinguen significativamente los dos sistemas; el DIS agregado, en cambio, no lo hace.</w:t>
      </w:r>
    </w:p>
    <w:p>
      <w:pPr>
        <w:pStyle w:val="Heading3"/>
        <w:spacing w:after="80" w:before="160"/>
      </w:pPr>
      <w:r>
        <w:rPr>
          <w:b/>
          <w:bCs/>
          <w:color w:val="1F3864"/>
          <w:sz w:val="23"/>
          <w:szCs w:val="23"/>
        </w:rPr>
        <w:t xml:space="preserve">5.13.4 Las tres dimensiones: independencia de DIS, IEI e ICM</w:t>
      </w:r>
    </w:p>
    <w:p>
      <w:pPr>
        <w:spacing w:after="60" w:before="60"/>
      </w:pPr>
      <w:r>
        <w:rPr>
          <w:i/>
          <w:iCs/>
          <w:color w:val="595959"/>
          <w:sz w:val="19"/>
          <w:szCs w:val="19"/>
        </w:rPr>
        <w:t xml:space="preserve">Tabla 5.11. Correlaciones (Spearman) entre los tres índices sintéticos. ICM disponible solo en el Corpus C (n=47).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shd w:fill="1F3864" w:val="clear"/>
          </w:tcPr>
          <w:p>
            <w:pPr>
              <w:jc w:val="center"/>
            </w:pPr>
            <w:r>
              <w:rPr>
                <w:b/>
                <w:bCs/>
                <w:color w:val="FFFFFF"/>
                <w:sz w:val="19"/>
                <w:szCs w:val="19"/>
              </w:rPr>
              <w:t xml:space="preserve">Par de índices</w:t>
            </w:r>
          </w:p>
        </w:tc>
        <w:tc>
          <w:tcPr>
            <w:tcW w:type="dxa" w:w="2160"/>
            <w:shd w:fill="1F3864" w:val="clear"/>
          </w:tcPr>
          <w:p>
            <w:pPr>
              <w:jc w:val="center"/>
            </w:pPr>
            <w:r>
              <w:rPr>
                <w:b/>
                <w:bCs/>
                <w:color w:val="FFFFFF"/>
                <w:sz w:val="19"/>
                <w:szCs w:val="19"/>
              </w:rPr>
              <w:t xml:space="preserve">ρ (Spearman)</w:t>
            </w:r>
          </w:p>
        </w:tc>
        <w:tc>
          <w:tcPr>
            <w:tcW w:type="dxa" w:w="4000"/>
            <w:shd w:fill="1F3864" w:val="clear"/>
          </w:tcPr>
          <w:p>
            <w:pPr>
              <w:jc w:val="center"/>
            </w:pPr>
            <w:r>
              <w:rPr>
                <w:b/>
                <w:bCs/>
                <w:color w:val="FFFFFF"/>
                <w:sz w:val="19"/>
                <w:szCs w:val="19"/>
              </w:rPr>
              <w:t xml:space="preserve">Interpretación</w:t>
            </w:r>
          </w:p>
        </w:tc>
      </w:tr>
      <w:tr>
        <w:tc>
          <w:tcPr>
            <w:tcW w:type="dxa" w:w="3200"/>
            <w:shd w:fill="FFFFFF" w:val="clear"/>
          </w:tcPr>
          <w:p>
            <w:pPr>
              <w:jc w:val="left"/>
            </w:pPr>
            <w:r>
              <w:rPr>
                <w:b/>
                <w:bCs/>
                <w:sz w:val="19"/>
                <w:szCs w:val="19"/>
              </w:rPr>
              <w:t xml:space="preserve">DIS – IEI (A+B+C)</w:t>
            </w:r>
          </w:p>
        </w:tc>
        <w:tc>
          <w:tcPr>
            <w:tcW w:type="dxa" w:w="2160"/>
            <w:shd w:fill="FFFFFF" w:val="clear"/>
          </w:tcPr>
          <w:p>
            <w:pPr>
              <w:jc w:val="center"/>
            </w:pPr>
            <w:r>
              <w:rPr>
                <w:b w:val="false"/>
                <w:bCs w:val="false"/>
                <w:sz w:val="19"/>
                <w:szCs w:val="19"/>
              </w:rPr>
              <w:t xml:space="preserve">0.164</w:t>
            </w:r>
          </w:p>
        </w:tc>
        <w:tc>
          <w:tcPr>
            <w:tcW w:type="dxa" w:w="4000"/>
            <w:shd w:fill="FFFFFF" w:val="clear"/>
          </w:tcPr>
          <w:p>
            <w:pPr>
              <w:jc w:val="center"/>
            </w:pPr>
            <w:r>
              <w:rPr>
                <w:b w:val="false"/>
                <w:bCs w:val="false"/>
                <w:sz w:val="19"/>
                <w:szCs w:val="19"/>
              </w:rPr>
              <w:t xml:space="preserve">dimensiones distintas</w:t>
            </w:r>
          </w:p>
        </w:tc>
      </w:tr>
      <w:tr>
        <w:tc>
          <w:tcPr>
            <w:tcW w:type="dxa" w:w="3200"/>
            <w:shd w:fill="F2F2F2" w:val="clear"/>
          </w:tcPr>
          <w:p>
            <w:pPr>
              <w:jc w:val="left"/>
            </w:pPr>
            <w:r>
              <w:rPr>
                <w:b/>
                <w:bCs/>
                <w:sz w:val="19"/>
                <w:szCs w:val="19"/>
              </w:rPr>
              <w:t xml:space="preserve">DIS – ICM (C)</w:t>
            </w:r>
          </w:p>
        </w:tc>
        <w:tc>
          <w:tcPr>
            <w:tcW w:type="dxa" w:w="2160"/>
            <w:shd w:fill="F2F2F2" w:val="clear"/>
          </w:tcPr>
          <w:p>
            <w:pPr>
              <w:jc w:val="center"/>
            </w:pPr>
            <w:r>
              <w:rPr>
                <w:b w:val="false"/>
                <w:bCs w:val="false"/>
                <w:sz w:val="19"/>
                <w:szCs w:val="19"/>
              </w:rPr>
              <w:t xml:space="preserve">−0.193</w:t>
            </w:r>
          </w:p>
        </w:tc>
        <w:tc>
          <w:tcPr>
            <w:tcW w:type="dxa" w:w="4000"/>
            <w:shd w:fill="F2F2F2" w:val="clear"/>
          </w:tcPr>
          <w:p>
            <w:pPr>
              <w:jc w:val="center"/>
            </w:pPr>
            <w:r>
              <w:rPr>
                <w:b w:val="false"/>
                <w:bCs w:val="false"/>
                <w:sz w:val="19"/>
                <w:szCs w:val="19"/>
              </w:rPr>
              <w:t xml:space="preserve">dimensiones distintas</w:t>
            </w:r>
          </w:p>
        </w:tc>
      </w:tr>
      <w:tr>
        <w:tc>
          <w:tcPr>
            <w:tcW w:type="dxa" w:w="3200"/>
            <w:shd w:fill="FFFFFF" w:val="clear"/>
          </w:tcPr>
          <w:p>
            <w:pPr>
              <w:jc w:val="left"/>
            </w:pPr>
            <w:r>
              <w:rPr>
                <w:b/>
                <w:bCs/>
                <w:sz w:val="19"/>
                <w:szCs w:val="19"/>
              </w:rPr>
              <w:t xml:space="preserve">IEI – ICM (C)</w:t>
            </w:r>
          </w:p>
        </w:tc>
        <w:tc>
          <w:tcPr>
            <w:tcW w:type="dxa" w:w="2160"/>
            <w:shd w:fill="FFFFFF" w:val="clear"/>
          </w:tcPr>
          <w:p>
            <w:pPr>
              <w:jc w:val="center"/>
            </w:pPr>
            <w:r>
              <w:rPr>
                <w:b w:val="false"/>
                <w:bCs w:val="false"/>
                <w:sz w:val="19"/>
                <w:szCs w:val="19"/>
              </w:rPr>
              <w:t xml:space="preserve">−0.113</w:t>
            </w:r>
          </w:p>
        </w:tc>
        <w:tc>
          <w:tcPr>
            <w:tcW w:type="dxa" w:w="4000"/>
            <w:shd w:fill="FFFFFF" w:val="clear"/>
          </w:tcPr>
          <w:p>
            <w:pPr>
              <w:jc w:val="center"/>
            </w:pPr>
            <w:r>
              <w:rPr>
                <w:b w:val="false"/>
                <w:bCs w:val="false"/>
                <w:sz w:val="19"/>
                <w:szCs w:val="19"/>
              </w:rPr>
              <w:t xml:space="preserve">dimensiones distintas</w:t>
            </w:r>
          </w:p>
        </w:tc>
      </w:tr>
    </w:tbl>
    <w:p>
      <w:pPr>
        <w:spacing w:after="120" w:line="276"/>
        <w:jc w:val="both"/>
      </w:pPr>
      <w:r>
        <w:rPr>
          <w:sz w:val="22"/>
          <w:szCs w:val="22"/>
        </w:rPr>
        <w:t xml:space="preserve">La matriz de correlaciones entre los tres índices sintéticos aporta la evidencia cuantitativa del carácter multidimensional del framework: ninguna correlación supera 0.20 en valor absoluto. DIS, IEI e ICM capturan fenómenos empíricamente independientes —discursivo, epistémico y multimodal, respectivamente— y no son medidas redundantes de una única injusticia subyacente. Esta independencia valida la arquitectura de tres índices: si las dimensiones fueran redundantes, correlacionarían fuertemente; si una determinara a la otra, un modelo causal ajustaría. El análisis estructural (§5.18) confirma que no ocurre ni lo uno ni lo otro.</w:t>
      </w:r>
    </w:p>
    <w:p>
      <w:pPr>
        <w:pStyle w:val="Heading3"/>
        <w:spacing w:after="80" w:before="160"/>
      </w:pPr>
      <w:r>
        <w:rPr>
          <w:b/>
          <w:bCs/>
          <w:color w:val="1F3864"/>
          <w:sz w:val="23"/>
          <w:szCs w:val="23"/>
        </w:rPr>
        <w:t>5.13.5 El registro bélico-institucional: surprisal contrastivo (y₇)</w:t>
      </w:r>
    </w:p>
    <w:p>
      <w:pPr>
        <w:spacing w:after="120" w:line="276"/>
        <w:jc w:val="both"/>
      </w:pPr>
      <w:r>
        <w:rPr>
          <w:sz w:val="22"/>
          <w:szCs w:val="22"/>
        </w:rPr>
        <w:t>Como análisis descriptivo complementario a los índices, se examina el surprisal contrastivo (y₇), definido como la diferencia de pseudo-log-verosimilitud por token entre BETO (modelo de español general) y ConfliBERT-Spanish (modelo de conflicto y violencia política): y₇ = PLL_BETO − PLL_ConfliBERT. Un valor más negativo indica un texto más predecible para el modelo de conflicto, es decir, un registro más característico del lenguaje bélico-institucional. A diferencia de los indicadores que componen los índices DIS e IEI, el surprisal no forma parte del esquema de anotación de la Capa 1 (EBI, SA, NV, REP): mide el registro global del texto de forma no supervisada, por lo que se reporta como una caracterización descriptiva del corpus y no como componente de un índice sintético.</w:t>
      </w:r>
    </w:p>
    <w:p>
      <w:pPr>
        <w:spacing w:after="60" w:before="60"/>
      </w:pPr>
      <w:r>
        <w:rPr>
          <w:i/>
          <w:iCs/>
          <w:color w:val="595959"/>
          <w:sz w:val="19"/>
          <w:szCs w:val="19"/>
        </w:rPr>
        <w:t>Tabla 5.12. Surprisal contrastivo (y₇) por corpus, sobre las unidades reales del pipeline (n=946).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900"/>
        <w:gridCol w:w="1900"/>
        <w:gridCol w:w="2000"/>
      </w:tblGrid>
      <w:tr>
        <w:trPr>
          <w:tblHeader/>
        </w:trPr>
        <w:tc>
          <w:tcPr>
            <w:tcW w:type="dxa" w:w="3560"/>
            <w:shd w:fill="1F3864" w:val="clear"/>
          </w:tcPr>
          <w:p>
            <w:pPr>
              <w:jc w:val="center"/>
            </w:pPr>
            <w:r>
              <w:rPr>
                <w:b/>
                <w:bCs/>
                <w:color w:val="FFFFFF"/>
                <w:sz w:val="19"/>
                <w:szCs w:val="19"/>
              </w:rPr>
              <w:t>Corpus</w:t>
            </w:r>
          </w:p>
        </w:tc>
        <w:tc>
          <w:tcPr>
            <w:tcW w:type="dxa" w:w="1900"/>
            <w:shd w:fill="1F3864" w:val="clear"/>
          </w:tcPr>
          <w:p>
            <w:pPr>
              <w:jc w:val="center"/>
            </w:pPr>
            <w:r>
              <w:rPr>
                <w:b/>
                <w:bCs/>
                <w:color w:val="FFFFFF"/>
                <w:sz w:val="19"/>
                <w:szCs w:val="19"/>
              </w:rPr>
              <w:t>n</w:t>
            </w:r>
          </w:p>
        </w:tc>
        <w:tc>
          <w:tcPr>
            <w:tcW w:type="dxa" w:w="1900"/>
            <w:shd w:fill="1F3864" w:val="clear"/>
          </w:tcPr>
          <w:p>
            <w:pPr>
              <w:jc w:val="center"/>
            </w:pPr>
            <w:r>
              <w:rPr>
                <w:b/>
                <w:bCs/>
                <w:color w:val="FFFFFF"/>
                <w:sz w:val="19"/>
                <w:szCs w:val="19"/>
              </w:rPr>
              <w:t>Surprisal y7</w:t>
            </w:r>
          </w:p>
        </w:tc>
        <w:tc>
          <w:tcPr>
            <w:tcW w:type="dxa" w:w="2000"/>
            <w:shd w:fill="1F3864" w:val="clear"/>
          </w:tcPr>
          <w:p>
            <w:pPr>
              <w:jc w:val="center"/>
            </w:pPr>
            <w:r>
              <w:rPr>
                <w:b/>
                <w:bCs/>
                <w:color w:val="FFFFFF"/>
                <w:sz w:val="19"/>
                <w:szCs w:val="19"/>
              </w:rPr>
              <w:t>Registro</w:t>
            </w:r>
          </w:p>
        </w:tc>
      </w:tr>
      <w:tr>
        <w:tc>
          <w:tcPr>
            <w:tcW w:type="dxa" w:w="3560"/>
            <w:shd w:fill="FFFFFF" w:val="clear"/>
          </w:tcPr>
          <w:p>
            <w:pPr>
              <w:jc w:val="left"/>
            </w:pPr>
            <w:r>
              <w:rPr>
                <w:b w:val="0"/>
                <w:bCs/>
                <w:sz w:val="19"/>
                <w:szCs w:val="19"/>
              </w:rPr>
              <w:t>A - justicia ordinaria</w:t>
            </w:r>
          </w:p>
        </w:tc>
        <w:tc>
          <w:tcPr>
            <w:tcW w:type="dxa" w:w="1900"/>
            <w:shd w:fill="FFFFFF" w:val="clear"/>
          </w:tcPr>
          <w:p>
            <w:pPr>
              <w:jc w:val="center"/>
            </w:pPr>
            <w:r>
              <w:rPr>
                <w:b w:val="0"/>
                <w:bCs w:val="false"/>
                <w:sz w:val="19"/>
                <w:szCs w:val="19"/>
              </w:rPr>
              <w:t>819</w:t>
            </w:r>
          </w:p>
        </w:tc>
        <w:tc>
          <w:tcPr>
            <w:tcW w:type="dxa" w:w="1900"/>
            <w:shd w:fill="FFFFFF" w:val="clear"/>
          </w:tcPr>
          <w:p>
            <w:pPr>
              <w:jc w:val="center"/>
            </w:pPr>
            <w:r>
              <w:rPr>
                <w:b w:val="0"/>
                <w:bCs w:val="false"/>
                <w:sz w:val="19"/>
                <w:szCs w:val="19"/>
              </w:rPr>
              <w:t>-0.542</w:t>
            </w:r>
          </w:p>
        </w:tc>
        <w:tc>
          <w:tcPr>
            <w:tcW w:type="dxa" w:w="2000"/>
            <w:shd w:fill="FFFFFF" w:val="clear"/>
          </w:tcPr>
          <w:p>
            <w:pPr>
              <w:jc w:val="center"/>
            </w:pPr>
            <w:r>
              <w:rPr>
                <w:b w:val="0"/>
                <w:bCs w:val="false"/>
                <w:sz w:val="19"/>
                <w:szCs w:val="19"/>
              </w:rPr>
              <w:t>mas belico</w:t>
            </w:r>
          </w:p>
        </w:tc>
      </w:tr>
      <w:tr>
        <w:tc>
          <w:tcPr>
            <w:tcW w:type="dxa" w:w="3560"/>
            <w:shd w:fill="F2F2F2" w:val="clear"/>
          </w:tcPr>
          <w:p>
            <w:pPr>
              <w:jc w:val="left"/>
            </w:pPr>
            <w:r>
              <w:rPr>
                <w:b w:val="0"/>
                <w:bCs/>
                <w:sz w:val="19"/>
                <w:szCs w:val="19"/>
              </w:rPr>
              <w:t>B - JEP escrita</w:t>
            </w:r>
          </w:p>
        </w:tc>
        <w:tc>
          <w:tcPr>
            <w:tcW w:type="dxa" w:w="1900"/>
            <w:shd w:fill="F2F2F2" w:val="clear"/>
          </w:tcPr>
          <w:p>
            <w:pPr>
              <w:jc w:val="center"/>
            </w:pPr>
            <w:r>
              <w:rPr>
                <w:b w:val="0"/>
                <w:bCs w:val="false"/>
                <w:sz w:val="19"/>
                <w:szCs w:val="19"/>
              </w:rPr>
              <w:t>80</w:t>
            </w:r>
          </w:p>
        </w:tc>
        <w:tc>
          <w:tcPr>
            <w:tcW w:type="dxa" w:w="1900"/>
            <w:shd w:fill="F2F2F2" w:val="clear"/>
          </w:tcPr>
          <w:p>
            <w:pPr>
              <w:jc w:val="center"/>
            </w:pPr>
            <w:r>
              <w:rPr>
                <w:b w:val="0"/>
                <w:bCs w:val="false"/>
                <w:sz w:val="19"/>
                <w:szCs w:val="19"/>
              </w:rPr>
              <w:t>-0.383</w:t>
            </w:r>
          </w:p>
        </w:tc>
        <w:tc>
          <w:tcPr>
            <w:tcW w:type="dxa" w:w="2000"/>
            <w:shd w:fill="F2F2F2" w:val="clear"/>
          </w:tcPr>
          <w:p>
            <w:pPr>
              <w:jc w:val="center"/>
            </w:pPr>
            <w:r>
              <w:rPr>
                <w:b w:val="0"/>
                <w:bCs w:val="false"/>
                <w:sz w:val="19"/>
                <w:szCs w:val="19"/>
              </w:rPr>
              <w:t>intermedio</w:t>
            </w:r>
          </w:p>
        </w:tc>
      </w:tr>
      <w:tr>
        <w:tc>
          <w:tcPr>
            <w:tcW w:type="dxa" w:w="3560"/>
            <w:shd w:fill="FFFFFF" w:val="clear"/>
          </w:tcPr>
          <w:p>
            <w:pPr>
              <w:jc w:val="left"/>
            </w:pPr>
            <w:r>
              <w:rPr>
                <w:b w:val="0"/>
                <w:bCs/>
                <w:sz w:val="19"/>
                <w:szCs w:val="19"/>
              </w:rPr>
              <w:t>C - JEP oral</w:t>
            </w:r>
          </w:p>
        </w:tc>
        <w:tc>
          <w:tcPr>
            <w:tcW w:type="dxa" w:w="1900"/>
            <w:shd w:fill="FFFFFF" w:val="clear"/>
          </w:tcPr>
          <w:p>
            <w:pPr>
              <w:jc w:val="center"/>
            </w:pPr>
            <w:r>
              <w:rPr>
                <w:b w:val="0"/>
                <w:bCs w:val="false"/>
                <w:sz w:val="19"/>
                <w:szCs w:val="19"/>
              </w:rPr>
              <w:t>47</w:t>
            </w:r>
          </w:p>
        </w:tc>
        <w:tc>
          <w:tcPr>
            <w:tcW w:type="dxa" w:w="1900"/>
            <w:shd w:fill="FFFFFF" w:val="clear"/>
          </w:tcPr>
          <w:p>
            <w:pPr>
              <w:jc w:val="center"/>
            </w:pPr>
            <w:r>
              <w:rPr>
                <w:b w:val="0"/>
                <w:bCs w:val="false"/>
                <w:sz w:val="19"/>
                <w:szCs w:val="19"/>
              </w:rPr>
              <w:t>-0.142</w:t>
            </w:r>
          </w:p>
        </w:tc>
        <w:tc>
          <w:tcPr>
            <w:tcW w:type="dxa" w:w="2000"/>
            <w:shd w:fill="FFFFFF" w:val="clear"/>
          </w:tcPr>
          <w:p>
            <w:pPr>
              <w:jc w:val="center"/>
            </w:pPr>
            <w:r>
              <w:rPr>
                <w:b w:val="0"/>
                <w:bCs w:val="false"/>
                <w:sz w:val="19"/>
                <w:szCs w:val="19"/>
              </w:rPr>
              <w:t>menos belico</w:t>
            </w:r>
          </w:p>
        </w:tc>
      </w:tr>
    </w:tbl>
    <w:p>
      <w:pPr>
        <w:spacing w:after="120" w:line="276"/>
        <w:jc w:val="both"/>
      </w:pPr>
      <w:r>
        <w:rPr>
          <w:sz w:val="22"/>
          <w:szCs w:val="22"/>
        </w:rPr>
        <w:t>El surprisal contrastivo revela un gradiente monotónico a través de los tres corpus: A=−0.542 (justicia ordinaria), B=−0.383 (JEP escrita) y C=−0.142 (JEP oral). Este ordenamiento es consistente con una des-militarización progresiva del registro: el lenguaje de la justicia ordinaria es el más característico del registro bélico-institucional del conflicto, la JEP escrita lo modera, y las audiencias orales —donde los comparecientes se dirigen directamente a las víctimas— presentan el registro más alejado del vocabulario del conflicto. La regularidad del gradiente a través de los tres corpus evidencia un patrón robusto y direccionalmente coherente. La diferencia entre la justicia ordinaria y la JEP escrita se sitúa muy próxima al umbral convencional de significancia (p=0.057), en un análisis focalizado sobre el corpus judicial del Macrocaso 003; la consistencia del gradiente en los tres corpus respalda la solidez del patrón de des-militarización como hallazgo descriptivo.</w:t>
      </w:r>
    </w:p>
    <w:p>
      <w:pPr>
        <w:spacing w:after="120" w:line="276"/>
        <w:jc w:val="both"/>
      </w:pPr>
      <w:r>
        <w:rPr>
          <w:sz w:val="22"/>
          <w:szCs w:val="22"/>
        </w:rPr>
        <w:t>El surprisal contrastivo es empíricamente independiente de los índices sintéticos: su correlación de Spearman con el DIS es baja (ρ=−0.18) y con el IEI prácticamente nula (ρ=+0.06), así como con cada uno de los indicadores anotados (|ρ|&lt;0.24). Esta independencia confirma que el registro bélico-institucional global constituye una dimensión discursiva propia, distinta tanto de los mecanismos de encubrimiento de superficie que componen el DIS como de la injusticia epistémica que compone el IEI.</w:t>
      </w:r>
    </w:p>
    <w:p>
      <w:pPr>
        <w:spacing w:after="120" w:line="276"/>
        <w:jc w:val="both"/>
      </w:pPr>
      <w:r>
        <w:rPr>
          <w:sz w:val="22"/>
          <w:szCs w:val="22"/>
        </w:rPr>
        <w:t>Este hallazgo ilumina la relación entre el DIS y el IEI. El DIS agregado no distingue significativamente la justicia ordinaria de la JEP escrita (p=0.0688): los mecanismos de encubrimiento anotados son en buena medida transversales al género jurídico. El surprisal muestra, sin embargo, que sí existe una dimensión discursiva-global que ordena los corpus según su registro bélico —una diferencia que los indicadores de superficie anotados no capturan porque operan sobre ocurrencias léxicas discretas, no sobre el registro estadístico del texto. La brecha entre sistemas de justicia se manifiesta, por tanto, en dos planos complementarios: el epistémico (IEI, que discrimina con fuerza) y el del registro global (surprisal, gradiente A→B→C), mientras que los mecanismos discursivos de superficie anotados (DIS) resultan compartidos. A título exploratorio, la incorporación del surprisal al DIS lo haría discriminar la justicia ordinaria de la transicional; no obstante, dado que el surprisal mide un constructo distinto —el registro global y no los mecanismos de encubrimiento anotados— y que no formó parte del proceso de anotación, se mantiene deliberadamente como análisis descriptivo independiente, preservando la limpieza conceptual de los índices.</w:t>
      </w:r>
    </w:p>
    <w:p>
      <w:pPr>
        <w:pStyle w:val="Heading2"/>
        <w:spacing w:after="100" w:before="200"/>
      </w:pPr>
      <w:r>
        <w:rPr>
          <w:b/>
          <w:bCs/>
          <w:color w:val="1F3864"/>
          <w:sz w:val="26"/>
          <w:szCs w:val="26"/>
        </w:rPr>
        <w:t xml:space="preserve">5.14 Indicadores Beach (2021): registro léxico, verbos atributivos y evidenciales</w:t>
      </w:r>
    </w:p>
    <w:p>
      <w:pPr>
        <w:spacing w:after="120" w:line="276"/>
        <w:jc w:val="both"/>
      </w:pPr>
      <w:r>
        <w:rPr>
          <w:b/>
          <w:bCs/>
          <w:sz w:val="22"/>
          <w:szCs w:val="22"/>
        </w:rPr>
        <w:t xml:space="preserve">Indicadores léxico-sintácticos. </w:t>
      </w:r>
      <w:r>
        <w:rPr>
          <w:sz w:val="22"/>
          <w:szCs w:val="22"/>
        </w:rPr>
        <w:t xml:space="preserve">Los tres indicadores de Beach et al. (2021) —quotes/registro léxico (y₁₁), verbos atributivos (y₁₂) y evidenciales (y₁₃)— operacionalizan la injusticia testimonial en el nivel léxico-sintáctico, complementando los indicadores semánticos y₈/y₉. Los tres son estadísticamente significativos entre Corpus A y B (p&lt;0.001, Mann-Whitney U bilateral). El hallazgo más robusto es y₁₂ verbos atributivos: A=0.270 vs B=0.058 (4,6× mayor en la justicia ordinaria), que usa significativamente más verbos de baja credibilidad —«alegó», «adujo», «supuestamente»— para referirse a las declaraciones de las víctimas, incorporando el descuento de credibilidad directamente en la gramática del relato judicial.</w:t>
      </w:r>
    </w:p>
    <w:p>
      <w:pPr>
        <w:spacing w:after="120" w:line="276"/>
        <w:jc w:val="both"/>
      </w:pPr>
      <w:r>
        <w:rPr>
          <w:b/>
          <w:bCs/>
          <w:sz w:val="22"/>
          <w:szCs w:val="22"/>
        </w:rPr>
        <w:t xml:space="preserve">Disociación léxico-semántica en Catatumbo. </w:t>
      </w:r>
      <w:r>
        <w:rPr>
          <w:sz w:val="22"/>
          <w:szCs w:val="22"/>
        </w:rPr>
        <w:t xml:space="preserve">Para el Corpus C oral, y₁₁ se operacionaliza como registro léxico MAFAPO frente a militar. Los resultados revelan una disociación de dos niveles en Catatumbo: el Capitán Chaparro usa vocabulario del campo semántico de las víctimas en superficie (proporción MAFAPO=0.736, el segundo más alto) pero su discurso, medido a nivel de embedding profundo, permanece el más distante del centroide MAFAPO (y₈=0.179). Adopta el vocabulario superficial de los recursos hermenéuticos de las víctimas sin adoptar su estructura semántica subyacente. Esta disociación léxico-semántica es el hallazgo más sofisticado del análisis verbal del Corpus C, y refuerza por una vía independiente la disociación DIS-IEI documentada en §5.13.</w:t>
      </w:r>
    </w:p>
    <w:p>
      <w:pPr>
        <w:pStyle w:val="Heading2"/>
        <w:spacing w:after="100" w:before="200"/>
      </w:pPr>
      <w:r>
        <w:rPr>
          <w:b/>
          <w:bCs/>
          <w:color w:val="1F3864"/>
          <w:sz w:val="26"/>
          <w:szCs w:val="26"/>
        </w:rPr>
        <w:t xml:space="preserve">5.15 Integración del canal verbal en el ICM</w:t>
      </w:r>
    </w:p>
    <w:p>
      <w:pPr>
        <w:spacing w:after="120" w:line="276"/>
        <w:jc w:val="both"/>
      </w:pPr>
      <w:r>
        <w:rPr>
          <w:sz w:val="22"/>
          <w:szCs w:val="22"/>
        </w:rPr>
        <w:t xml:space="preserve">El canal verbal del ICM se opera mediante el indicador REP (y₁₀) como proporción del discurso reparador, una reformulación que aísla la disposición reparadora del compareciente del factor exógeno de la duración de su intervención —determinada institucionalmente por la JEP. Esta operacionalización reconoce que la corrección hermenéutica tiene dos dimensiones potencialmente disociables: la adopción del vocabulario de las víctimas en superficie (capturada por los indicadores Beach) y la adopción de su estructura semántica profunda (capturada por la distancia de embedding y₈). El caso de Chaparro en Catatumbo muestra que ambas pueden divergir, lo que justifica mantener el canal verbal con un peso moderado (0.20) dentro del ICM: es informativo, pero su contenido semántico ya queda parcialmente capturado por los índices DIS e IEI.</w:t>
      </w:r>
    </w:p>
    <w:p>
      <w:pPr>
        <w:pStyle w:val="Heading2"/>
        <w:spacing w:after="100" w:before="200"/>
      </w:pPr>
      <w:r>
        <w:rPr>
          <w:b/>
          <w:bCs/>
          <w:color w:val="1F3864"/>
          <w:sz w:val="26"/>
          <w:szCs w:val="26"/>
        </w:rPr>
        <w:t xml:space="preserve">5.16 Validación de robustez de los pesos del ICM tri-canal</w:t>
      </w:r>
    </w:p>
    <w:p>
      <w:pPr>
        <w:spacing w:after="120" w:line="276"/>
        <w:jc w:val="both"/>
      </w:pPr>
      <w:r>
        <w:rPr>
          <w:b/>
          <w:bCs/>
          <w:sz w:val="22"/>
          <w:szCs w:val="22"/>
        </w:rPr>
        <w:t xml:space="preserve">Procedimiento. </w:t>
      </w:r>
      <w:r>
        <w:rPr>
          <w:sz w:val="22"/>
          <w:szCs w:val="22"/>
        </w:rPr>
        <w:t xml:space="preserve">Dado que el ICM compone los tres canales con pesos fijos (0.40 facial / 0.40 vocal / 0.20 verbal), la estabilidad del ordenamiento de comparecientes ante esa elección se evalúa mediante simulación Monte Carlo (5.000 simulaciones por modo), calculando el coeficiente de concordancia de rangos Kendall τ entre el ranking resultante y el de referencia, con umbral de robustez τ≥0.80.</w:t>
      </w:r>
    </w:p>
    <w:p>
      <w:pPr>
        <w:spacing w:after="120" w:line="276"/>
        <w:jc w:val="both"/>
      </w:pPr>
      <w:r>
        <w:rPr>
          <w:b/>
          <w:bCs/>
          <w:sz w:val="22"/>
          <w:szCs w:val="22"/>
        </w:rPr>
        <w:t xml:space="preserve">Resultados. </w:t>
      </w:r>
      <w:r>
        <w:rPr>
          <w:sz w:val="22"/>
          <w:szCs w:val="22"/>
        </w:rPr>
        <w:t xml:space="preserve">Bajo perturbación local de los pesos (±0.10 alrededor de la referencia), el 97,7% de las simulaciones mantiene τ≥0.80, con τ medio de 0.908: el ordenamiento de comparecientes es robusto a la elección razonable de pesos. Bajo exploración del espacio completo, la concordancia desciende (15,7%), lo que revela que el canal facial es el más informativo del índice: su eliminación reordena sustancialmente el ranking (τ=0.233), mientras que los esquemas que lo conservan permanecen robustos (τ&gt;0.85). Los pesos 0.40/0.40/0.20 se ubican en la región estable del espacio de configuraciones.</w:t>
      </w:r>
    </w:p>
    <w:p>
      <w:pPr>
        <w:pStyle w:val="Heading2"/>
        <w:spacing w:after="100" w:before="200"/>
      </w:pPr>
      <w:r>
        <w:rPr>
          <w:b/>
          <w:bCs/>
          <w:color w:val="1F3864"/>
          <w:sz w:val="26"/>
          <w:szCs w:val="26"/>
        </w:rPr>
        <w:t xml:space="preserve">5.17 Fiabilidad inter-anotador (IAA)</w:t>
      </w:r>
    </w:p>
    <w:p>
      <w:pPr>
        <w:spacing w:after="120" w:line="276"/>
        <w:jc w:val="both"/>
      </w:pPr>
      <w:r>
        <w:rPr>
          <w:sz w:val="22"/>
          <w:szCs w:val="22"/>
        </w:rPr>
        <w:t xml:space="preserve">La fiabilidad de la anotación que sustenta los indicadores léxicos (EBI, SA, NV, REP) se evaluó mediante el coeficiente κ de Cohen sobre 100 fragmentos anotados independientemente por dos anotadores, en dos rondas. El protocolo de anotación se detalla en el Capítulo 4.</w:t>
      </w:r>
    </w:p>
    <w:p>
      <w:pPr>
        <w:spacing w:after="60" w:before="60"/>
      </w:pPr>
      <w:r>
        <w:rPr>
          <w:i/>
          <w:iCs/>
          <w:color w:val="595959"/>
          <w:sz w:val="19"/>
          <w:szCs w:val="19"/>
        </w:rPr>
        <w:t xml:space="preserve">Tabla 5.12. Fiabilidad inter-anotador (κ de Cohen) por categoría, dos rondas. Escala de Landis y Koch (1977).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shd w:fill="1F3864" w:val="clear"/>
          </w:tcPr>
          <w:p>
            <w:pPr>
              <w:jc w:val="center"/>
            </w:pPr>
            <w:r>
              <w:rPr>
                <w:b/>
                <w:bCs/>
                <w:color w:val="FFFFFF"/>
                <w:sz w:val="19"/>
                <w:szCs w:val="19"/>
              </w:rPr>
              <w:t xml:space="preserve">Categoría</w:t>
            </w:r>
          </w:p>
        </w:tc>
        <w:tc>
          <w:tcPr>
            <w:tcW w:type="dxa" w:w="1700"/>
            <w:shd w:fill="1F3864" w:val="clear"/>
          </w:tcPr>
          <w:p>
            <w:pPr>
              <w:jc w:val="center"/>
            </w:pPr>
            <w:r>
              <w:rPr>
                <w:b/>
                <w:bCs/>
                <w:color w:val="FFFFFF"/>
                <w:sz w:val="19"/>
                <w:szCs w:val="19"/>
              </w:rPr>
              <w:t xml:space="preserve">κ Ronda 1</w:t>
            </w:r>
          </w:p>
        </w:tc>
        <w:tc>
          <w:tcPr>
            <w:tcW w:type="dxa" w:w="1700"/>
            <w:shd w:fill="1F3864" w:val="clear"/>
          </w:tcPr>
          <w:p>
            <w:pPr>
              <w:jc w:val="center"/>
            </w:pPr>
            <w:r>
              <w:rPr>
                <w:b/>
                <w:bCs/>
                <w:color w:val="FFFFFF"/>
                <w:sz w:val="19"/>
                <w:szCs w:val="19"/>
              </w:rPr>
              <w:t xml:space="preserve">κ Ronda 2</w:t>
            </w:r>
          </w:p>
        </w:tc>
        <w:tc>
          <w:tcPr>
            <w:tcW w:type="dxa" w:w="3560"/>
            <w:shd w:fill="1F3864" w:val="clear"/>
          </w:tcPr>
          <w:p>
            <w:pPr>
              <w:jc w:val="center"/>
            </w:pPr>
            <w:r>
              <w:rPr>
                <w:b/>
                <w:bCs/>
                <w:color w:val="FFFFFF"/>
                <w:sz w:val="19"/>
                <w:szCs w:val="19"/>
              </w:rPr>
              <w:t xml:space="preserve">Interpretación final</w:t>
            </w:r>
          </w:p>
        </w:tc>
      </w:tr>
      <w:tr>
        <w:tc>
          <w:tcPr>
            <w:tcW w:type="dxa" w:w="2400"/>
            <w:shd w:fill="FFFFFF" w:val="clear"/>
          </w:tcPr>
          <w:p>
            <w:pPr>
              <w:jc w:val="left"/>
            </w:pPr>
            <w:r>
              <w:rPr>
                <w:b/>
                <w:bCs/>
                <w:sz w:val="19"/>
                <w:szCs w:val="19"/>
              </w:rPr>
              <w:t xml:space="preserve">EBI</w:t>
            </w:r>
          </w:p>
        </w:tc>
        <w:tc>
          <w:tcPr>
            <w:tcW w:type="dxa" w:w="1700"/>
            <w:shd w:fill="FFFFFF" w:val="clear"/>
          </w:tcPr>
          <w:p>
            <w:pPr>
              <w:jc w:val="center"/>
            </w:pPr>
            <w:r>
              <w:rPr>
                <w:b w:val="false"/>
                <w:bCs w:val="false"/>
                <w:sz w:val="19"/>
                <w:szCs w:val="19"/>
              </w:rPr>
              <w:t xml:space="preserve">0.722</w:t>
            </w:r>
          </w:p>
        </w:tc>
        <w:tc>
          <w:tcPr>
            <w:tcW w:type="dxa" w:w="1700"/>
            <w:shd w:fill="FFFFFF" w:val="clear"/>
          </w:tcPr>
          <w:p>
            <w:pPr>
              <w:jc w:val="center"/>
            </w:pPr>
            <w:r>
              <w:rPr>
                <w:b w:val="false"/>
                <w:bCs w:val="false"/>
                <w:sz w:val="19"/>
                <w:szCs w:val="19"/>
              </w:rPr>
              <w:t xml:space="preserve">0.722</w:t>
            </w:r>
          </w:p>
        </w:tc>
        <w:tc>
          <w:tcPr>
            <w:tcW w:type="dxa" w:w="3560"/>
            <w:shd w:fill="FFFFFF" w:val="clear"/>
          </w:tcPr>
          <w:p>
            <w:pPr>
              <w:jc w:val="center"/>
            </w:pPr>
            <w:r>
              <w:rPr>
                <w:b w:val="false"/>
                <w:bCs w:val="false"/>
                <w:sz w:val="19"/>
                <w:szCs w:val="19"/>
              </w:rPr>
              <w:t xml:space="preserve">sustancial</w:t>
            </w:r>
          </w:p>
        </w:tc>
      </w:tr>
      <w:tr>
        <w:tc>
          <w:tcPr>
            <w:tcW w:type="dxa" w:w="2400"/>
            <w:shd w:fill="F2F2F2" w:val="clear"/>
          </w:tcPr>
          <w:p>
            <w:pPr>
              <w:jc w:val="left"/>
            </w:pPr>
            <w:r>
              <w:rPr>
                <w:b/>
                <w:bCs/>
                <w:sz w:val="19"/>
                <w:szCs w:val="19"/>
              </w:rPr>
              <w:t xml:space="preserve">SA</w:t>
            </w:r>
          </w:p>
        </w:tc>
        <w:tc>
          <w:tcPr>
            <w:tcW w:type="dxa" w:w="1700"/>
            <w:shd w:fill="F2F2F2" w:val="clear"/>
          </w:tcPr>
          <w:p>
            <w:pPr>
              <w:jc w:val="center"/>
            </w:pPr>
            <w:r>
              <w:rPr>
                <w:b w:val="false"/>
                <w:bCs w:val="false"/>
                <w:sz w:val="19"/>
                <w:szCs w:val="19"/>
              </w:rPr>
              <w:t xml:space="preserve">0.617</w:t>
            </w:r>
          </w:p>
        </w:tc>
        <w:tc>
          <w:tcPr>
            <w:tcW w:type="dxa" w:w="1700"/>
            <w:shd w:fill="F2F2F2" w:val="clear"/>
          </w:tcPr>
          <w:p>
            <w:pPr>
              <w:jc w:val="center"/>
            </w:pPr>
            <w:r>
              <w:rPr>
                <w:b w:val="false"/>
                <w:bCs w:val="false"/>
                <w:sz w:val="19"/>
                <w:szCs w:val="19"/>
              </w:rPr>
              <w:t xml:space="preserve">0.617</w:t>
            </w:r>
          </w:p>
        </w:tc>
        <w:tc>
          <w:tcPr>
            <w:tcW w:type="dxa" w:w="3560"/>
            <w:shd w:fill="F2F2F2" w:val="clear"/>
          </w:tcPr>
          <w:p>
            <w:pPr>
              <w:jc w:val="center"/>
            </w:pPr>
            <w:r>
              <w:rPr>
                <w:b w:val="false"/>
                <w:bCs w:val="false"/>
                <w:sz w:val="19"/>
                <w:szCs w:val="19"/>
              </w:rPr>
              <w:t xml:space="preserve">sustancial</w:t>
            </w:r>
          </w:p>
        </w:tc>
      </w:tr>
      <w:tr>
        <w:tc>
          <w:tcPr>
            <w:tcW w:type="dxa" w:w="2400"/>
            <w:shd w:fill="FFFFFF" w:val="clear"/>
          </w:tcPr>
          <w:p>
            <w:pPr>
              <w:jc w:val="left"/>
            </w:pPr>
            <w:r>
              <w:rPr>
                <w:b/>
                <w:bCs/>
                <w:sz w:val="19"/>
                <w:szCs w:val="19"/>
              </w:rPr>
              <w:t xml:space="preserve">NV</w:t>
            </w:r>
          </w:p>
        </w:tc>
        <w:tc>
          <w:tcPr>
            <w:tcW w:type="dxa" w:w="1700"/>
            <w:shd w:fill="FFFFFF" w:val="clear"/>
          </w:tcPr>
          <w:p>
            <w:pPr>
              <w:jc w:val="center"/>
            </w:pPr>
            <w:r>
              <w:rPr>
                <w:b w:val="false"/>
                <w:bCs w:val="false"/>
                <w:sz w:val="19"/>
                <w:szCs w:val="19"/>
              </w:rPr>
              <w:t xml:space="preserve">0.709</w:t>
            </w:r>
          </w:p>
        </w:tc>
        <w:tc>
          <w:tcPr>
            <w:tcW w:type="dxa" w:w="1700"/>
            <w:shd w:fill="FFFFFF" w:val="clear"/>
          </w:tcPr>
          <w:p>
            <w:pPr>
              <w:jc w:val="center"/>
            </w:pPr>
            <w:r>
              <w:rPr>
                <w:b w:val="false"/>
                <w:bCs w:val="false"/>
                <w:sz w:val="19"/>
                <w:szCs w:val="19"/>
              </w:rPr>
              <w:t xml:space="preserve">0.709</w:t>
            </w:r>
          </w:p>
        </w:tc>
        <w:tc>
          <w:tcPr>
            <w:tcW w:type="dxa" w:w="3560"/>
            <w:shd w:fill="FFFFFF" w:val="clear"/>
          </w:tcPr>
          <w:p>
            <w:pPr>
              <w:jc w:val="center"/>
            </w:pPr>
            <w:r>
              <w:rPr>
                <w:b w:val="false"/>
                <w:bCs w:val="false"/>
                <w:sz w:val="19"/>
                <w:szCs w:val="19"/>
              </w:rPr>
              <w:t xml:space="preserve">sustancial</w:t>
            </w:r>
          </w:p>
        </w:tc>
      </w:tr>
      <w:tr>
        <w:tc>
          <w:tcPr>
            <w:tcW w:type="dxa" w:w="2400"/>
            <w:shd w:fill="F2F2F2" w:val="clear"/>
          </w:tcPr>
          <w:p>
            <w:pPr>
              <w:jc w:val="left"/>
            </w:pPr>
            <w:r>
              <w:rPr>
                <w:b/>
                <w:bCs/>
                <w:sz w:val="19"/>
                <w:szCs w:val="19"/>
              </w:rPr>
              <w:t xml:space="preserve">REP</w:t>
            </w:r>
          </w:p>
        </w:tc>
        <w:tc>
          <w:tcPr>
            <w:tcW w:type="dxa" w:w="1700"/>
            <w:shd w:fill="F2F2F2" w:val="clear"/>
          </w:tcPr>
          <w:p>
            <w:pPr>
              <w:jc w:val="center"/>
            </w:pPr>
            <w:r>
              <w:rPr>
                <w:b w:val="false"/>
                <w:bCs w:val="false"/>
                <w:sz w:val="19"/>
                <w:szCs w:val="19"/>
              </w:rPr>
              <w:t xml:space="preserve">0.309</w:t>
            </w:r>
          </w:p>
        </w:tc>
        <w:tc>
          <w:tcPr>
            <w:tcW w:type="dxa" w:w="1700"/>
            <w:shd w:fill="F2F2F2" w:val="clear"/>
          </w:tcPr>
          <w:p>
            <w:pPr>
              <w:jc w:val="center"/>
            </w:pPr>
            <w:r>
              <w:rPr>
                <w:b w:val="false"/>
                <w:bCs w:val="false"/>
                <w:sz w:val="19"/>
                <w:szCs w:val="19"/>
              </w:rPr>
              <w:t xml:space="preserve">0.841</w:t>
            </w:r>
          </w:p>
        </w:tc>
        <w:tc>
          <w:tcPr>
            <w:tcW w:type="dxa" w:w="3560"/>
            <w:shd w:fill="F2F2F2" w:val="clear"/>
          </w:tcPr>
          <w:p>
            <w:pPr>
              <w:jc w:val="center"/>
            </w:pPr>
            <w:r>
              <w:rPr>
                <w:b w:val="false"/>
                <w:bCs w:val="false"/>
                <w:sz w:val="19"/>
                <w:szCs w:val="19"/>
              </w:rPr>
              <w:t xml:space="preserve">casi perfecto (revisado)</w:t>
            </w:r>
          </w:p>
        </w:tc>
      </w:tr>
      <w:tr>
        <w:tc>
          <w:tcPr>
            <w:tcW w:type="dxa" w:w="2400"/>
            <w:shd w:fill="FFFFFF" w:val="clear"/>
          </w:tcPr>
          <w:p>
            <w:pPr>
              <w:jc w:val="left"/>
            </w:pPr>
            <w:r>
              <w:rPr>
                <w:b/>
                <w:bCs/>
                <w:sz w:val="19"/>
                <w:szCs w:val="19"/>
              </w:rPr>
              <w:t xml:space="preserve">Global (macro)</w:t>
            </w:r>
          </w:p>
        </w:tc>
        <w:tc>
          <w:tcPr>
            <w:tcW w:type="dxa" w:w="1700"/>
            <w:shd w:fill="FFFFFF" w:val="clear"/>
          </w:tcPr>
          <w:p>
            <w:pPr>
              <w:jc w:val="center"/>
            </w:pPr>
            <w:r>
              <w:rPr>
                <w:b w:val="false"/>
                <w:bCs w:val="false"/>
                <w:sz w:val="19"/>
                <w:szCs w:val="19"/>
              </w:rPr>
              <w:t xml:space="preserve">0.589</w:t>
            </w:r>
          </w:p>
        </w:tc>
        <w:tc>
          <w:tcPr>
            <w:tcW w:type="dxa" w:w="1700"/>
            <w:shd w:fill="FFFFFF" w:val="clear"/>
          </w:tcPr>
          <w:p>
            <w:pPr>
              <w:jc w:val="center"/>
            </w:pPr>
            <w:r>
              <w:rPr>
                <w:b w:val="false"/>
                <w:bCs w:val="false"/>
                <w:sz w:val="19"/>
                <w:szCs w:val="19"/>
              </w:rPr>
              <w:t xml:space="preserve">0.722</w:t>
            </w:r>
          </w:p>
        </w:tc>
        <w:tc>
          <w:tcPr>
            <w:tcW w:type="dxa" w:w="3560"/>
            <w:shd w:fill="FFFFFF" w:val="clear"/>
          </w:tcPr>
          <w:p>
            <w:pPr>
              <w:jc w:val="center"/>
            </w:pPr>
            <w:r>
              <w:rPr>
                <w:b w:val="false"/>
                <w:bCs w:val="false"/>
                <w:sz w:val="19"/>
                <w:szCs w:val="19"/>
              </w:rPr>
              <w:t xml:space="preserve">sustancial</w:t>
            </w:r>
          </w:p>
        </w:tc>
      </w:tr>
    </w:tbl>
    <w:p>
      <w:pPr>
        <w:spacing w:after="120" w:line="276"/>
        <w:jc w:val="both"/>
      </w:pPr>
      <w:r>
        <w:rPr>
          <w:sz w:val="22"/>
          <w:szCs w:val="22"/>
        </w:rPr>
        <w:t xml:space="preserve">En la primera ronda, las categorías EBI, SA y NV alcanzaron concordancia sustancial (κ entre 0.62 y 0.72), mientras que la Ruptura Epistémica Positiva (REP) obtuvo la concordancia más baja (κ=0.309). El análisis de los 34 desacuerdos en REP reveló una comprensión divergente de los límites del constructo —específicamente, la frontera entre el reconocimiento genuino y el lenguaje jurídico formulaico, como la expresión «homicidio en persona protegida» en las secciones dispositivas. Tras calibrar la definición operativa del constructo, ambos anotadores revisaron los fragmentos en disputa: 28 de los 34 convergieron y 6 permanecieron en desacuerdo (casos genuinamente ambiguos, no forzados). La revisión elevó REP a κ=0.841 (casi perfecto) y el índice global macro a κ=0.722 (sustancial). La persistencia de seis desacuerdos irreducibles confirma que la convergencia no fue impuesta, sino resultado de una calibración legítima del constructo.</w:t>
      </w:r>
    </w:p>
    <w:p>
      <w:pPr>
        <w:pStyle w:val="Heading2"/>
        <w:spacing w:after="100" w:before="200"/>
      </w:pPr>
      <w:r>
        <w:rPr>
          <w:b/>
          <w:bCs/>
          <w:color w:val="1F3864"/>
          <w:sz w:val="26"/>
          <w:szCs w:val="26"/>
        </w:rPr>
        <w:t xml:space="preserve">5.18 Análisis estructural exploratorio</w:t>
      </w:r>
    </w:p>
    <w:p>
      <w:pPr>
        <w:spacing w:after="120" w:line="276"/>
        <w:jc w:val="both"/>
      </w:pPr>
      <w:r>
        <w:rPr>
          <w:sz w:val="22"/>
          <w:szCs w:val="22"/>
        </w:rPr>
        <w:t xml:space="preserve">Complementando la evidencia descriptiva de los índices, se realizó un conjunto de análisis estructurales de carácter exploratorio. Todos ellos están condicionados por el tamaño del Corpus C (n=47 comparecientes), que impide un modelado confirmatorio con variables latentes; se reportan, por tanto, como complementos de la evidencia principal —el contraste inter-corpus del IEI y la relación y₈→y₁₀—, no como su sustento.</w:t>
      </w:r>
    </w:p>
    <w:p>
      <w:pPr>
        <w:pStyle w:val="Heading3"/>
        <w:spacing w:after="80" w:before="160"/>
      </w:pPr>
      <w:r>
        <w:rPr>
          <w:b/>
          <w:bCs/>
          <w:color w:val="1F3864"/>
          <w:sz w:val="23"/>
          <w:szCs w:val="23"/>
        </w:rPr>
        <w:t xml:space="preserve">5.18.1 La distancia a las víctimas predice la transición (y₈ → y₁₀)</w:t>
      </w:r>
    </w:p>
    <w:p>
      <w:pPr>
        <w:spacing w:after="120" w:line="276"/>
        <w:jc w:val="both"/>
      </w:pPr>
      <w:r>
        <w:rPr>
          <w:sz w:val="22"/>
          <w:szCs w:val="22"/>
        </w:rPr>
        <w:t xml:space="preserve">El hallazgo estructural más robusto es la relación entre la distancia semántica al lenguaje de las víctimas (y₈) y la ruptura epistémica positiva (y₁₀). La regresión de y₁₀ sobre los indicadores de injusticia arroja un coeficiente negativo, significativo y consistente en dos universos independientes: β=−0.679 (p=0.047) en el Corpus C y β=−0.597 (p&lt;0.001) en el análisis tri-corpus (n=946). El mismo signo y magnitud comparable en ambos universos confirman la robustez del hallazgo: cuanto mayor es la distancia del discurso respecto al lenguaje de las víctimas, menor es la transición reparadora. Esta relación, central para la hipótesis del framework, queda atenuada al agregarse en el índice IEI pero emerge nítida a nivel de indicador individual.</w:t>
      </w:r>
    </w:p>
    <w:p>
      <w:pPr>
        <w:pStyle w:val="Heading3"/>
        <w:spacing w:after="80" w:before="160"/>
      </w:pPr>
      <w:r>
        <w:rPr>
          <w:b/>
          <w:bCs/>
          <w:color w:val="1F3864"/>
          <w:sz w:val="23"/>
          <w:szCs w:val="23"/>
        </w:rPr>
        <w:t xml:space="preserve">5.18.2 Modelos SEM exploratorios</w:t>
      </w:r>
    </w:p>
    <w:p>
      <w:pPr>
        <w:spacing w:after="120" w:line="276"/>
        <w:jc w:val="both"/>
      </w:pPr>
      <w:r>
        <w:rPr>
          <w:b/>
          <w:bCs/>
          <w:sz w:val="22"/>
          <w:szCs w:val="22"/>
        </w:rPr>
        <w:t xml:space="preserve">SEM del Corpus C. </w:t>
      </w:r>
      <w:r>
        <w:rPr>
          <w:sz w:val="22"/>
          <w:szCs w:val="22"/>
        </w:rPr>
        <w:t xml:space="preserve">El modelo de ecuaciones estructurales sobre el Corpus C (n=47), con la injusticia epistémica prediciendo la transición, produce coeficientes en la dirección esperada pero un ajuste no interpretable (índices de ajuste fuera de rango por no-identificación con n bajo). Confirma el carácter exploratorio del modelado estructural con este tamaño muestral.</w:t>
      </w:r>
    </w:p>
    <w:p>
      <w:pPr>
        <w:spacing w:after="120" w:line="276"/>
        <w:jc w:val="both"/>
      </w:pPr>
      <w:r>
        <w:rPr>
          <w:b/>
          <w:bCs/>
          <w:sz w:val="22"/>
          <w:szCs w:val="22"/>
        </w:rPr>
        <w:t xml:space="preserve">Modelo multigrupo (DIS→IEI por corpus). </w:t>
      </w:r>
      <w:r>
        <w:rPr>
          <w:sz w:val="22"/>
          <w:szCs w:val="22"/>
        </w:rPr>
        <w:t xml:space="preserve">La relación entre DIS e IEI, estimada por separado en cada corpus, resulta débil en los tres (β entre 0.05 y 0.20). Esta debilidad refuerza la independencia dimensional de los índices: si el DIS predijera fuertemente el IEI, no medirían dimensiones distintas. Al equilibrar el tamaño de los grupos, el coeficiente del Corpus A cae a 0.047, mostrando que su significancia en la muestra completa era un artefacto del gran tamaño de A.</w:t>
      </w:r>
    </w:p>
    <w:p>
      <w:pPr>
        <w:spacing w:after="120" w:line="276"/>
        <w:jc w:val="both"/>
      </w:pPr>
      <w:r>
        <w:rPr>
          <w:b/>
          <w:bCs/>
          <w:sz w:val="22"/>
          <w:szCs w:val="22"/>
        </w:rPr>
        <w:t xml:space="preserve">Modelo de los tres índices en C. </w:t>
      </w:r>
      <w:r>
        <w:rPr>
          <w:sz w:val="22"/>
          <w:szCs w:val="22"/>
        </w:rPr>
        <w:t xml:space="preserve">Al integrar DIS, IEI e ICM en el Corpus C bajo tres estructuras teóricas (cadena causal, ICM como predictor y dimensiones paralelas), las estructuras causales no encuentran sustento —coeficientes no significativos (p&gt;0.20) y modelos no identificados—, mientras que la estructura de tres dimensiones paralelas independientes describe correctamente los datos (correlaciones |r|&lt;0.21, todas no significativas). No existe relación causal entre los tres índices: son dimensiones paralelas, lo que confirma por vía estructural el argumento dimensional del framework.</w:t>
      </w:r>
    </w:p>
    <w:p>
      <w:pPr>
        <w:pStyle w:val="Heading3"/>
        <w:spacing w:after="80" w:before="160"/>
      </w:pPr>
      <w:r>
        <w:rPr>
          <w:b/>
          <w:bCs/>
          <w:color w:val="1F3864"/>
          <w:sz w:val="23"/>
          <w:szCs w:val="23"/>
        </w:rPr>
        <w:t xml:space="preserve">5.18.3 Robustez del hallazgo por subcaso (jackknife de Dabeiba)</w:t>
      </w:r>
    </w:p>
    <w:p>
      <w:pPr>
        <w:spacing w:after="120" w:line="276"/>
        <w:jc w:val="both"/>
      </w:pPr>
      <w:r>
        <w:rPr>
          <w:sz w:val="22"/>
          <w:szCs w:val="22"/>
        </w:rPr>
        <w:t xml:space="preserve">En el subcaso Dabeiba (n=12), la relación entre injusticia epistémica y transición reparadora resultó fuerte (r=−0.748). El análisis de sensibilidad por jackknife —recalculando la correlación al excluir un compareciente por vez— confirmó que la dirección y magnitud se mantienen estables al excluir cualquiera de once comparecientes (rango −0.738 a −0.812), aunque la exclusión de un caso individual la reduce a −0.315. Dado el reducido tamaño muestral, el hallazgo se interpreta como sugerente y exploratorio, coherente con la hipótesis pero no confirmatorio. La evidencia estructural principal permanece en la relación y₈→y₁₀, robusta en los dos universos, y en el contraste inter-corpus del IEI.</w:t>
      </w:r>
    </w:p>
    <w:p>
      <w:pPr>
        <w:pStyle w:val="Heading2"/>
        <w:spacing w:after="100" w:before="200"/>
      </w:pPr>
      <w:r>
        <w:rPr>
          <w:b/>
          <w:bCs/>
          <w:color w:val="1F3864"/>
          <w:sz w:val="26"/>
          <w:szCs w:val="26"/>
        </w:rPr>
        <w:t xml:space="preserve">Referencias del capítulo</w:t>
      </w:r>
    </w:p>
    <w:p>
      <w:pPr>
        <w:spacing w:after="80"/>
        <w:ind w:left="360" w:hanging="360"/>
        <w:jc w:val="both"/>
      </w:pPr>
      <w:r>
        <w:rPr>
          <w:sz w:val="20"/>
          <w:szCs w:val="20"/>
        </w:rPr>
        <w:t xml:space="preserve">Barrett, L. F., Adolphs, R., Marsella, S., Martinez, A. M., y Pollak, S. D. (2019). Emotional Expressions Reconsidered: Challenges to Inferring Emotion From Human Facial Movements. Psychological Science in the Public Interest, 20(1), 1–68.</w:t>
      </w:r>
    </w:p>
    <w:p>
      <w:pPr>
        <w:spacing w:after="80"/>
        <w:ind w:left="360" w:hanging="360"/>
        <w:jc w:val="both"/>
      </w:pPr>
      <w:r>
        <w:rPr>
          <w:sz w:val="20"/>
          <w:szCs w:val="20"/>
        </w:rPr>
        <w:t xml:space="preserve">Beach, M. C., et al. (2021). Testimonial Injustice: Linguistic Bias in the Medical Records of Black Patients and Women. Journal of General Internal Medicine.</w:t>
      </w:r>
    </w:p>
    <w:p>
      <w:pPr>
        <w:spacing w:after="80"/>
        <w:ind w:left="360" w:hanging="360"/>
        <w:jc w:val="both"/>
      </w:pPr>
      <w:r>
        <w:rPr>
          <w:sz w:val="20"/>
          <w:szCs w:val="20"/>
        </w:rPr>
        <w:t xml:space="preserve">Buolamwini, J., y Gebru, T. (2018). Gender Shades: Intersectional Accuracy Disparities in Commercial Gender Classification. Proceedings of Machine Learning Research, 81, 1–15.</w:t>
      </w:r>
    </w:p>
    <w:p>
      <w:pPr>
        <w:spacing w:after="80"/>
        <w:ind w:left="360" w:hanging="360"/>
        <w:jc w:val="both"/>
      </w:pPr>
      <w:r>
        <w:rPr>
          <w:sz w:val="20"/>
          <w:szCs w:val="20"/>
        </w:rPr>
        <w:t xml:space="preserve">Cohen, J. (1988). Statistical Power Analysis for the Behavioral Sciences (2.ª ed.). Lawrence Erlbaum.</w:t>
      </w:r>
    </w:p>
    <w:p>
      <w:pPr>
        <w:spacing w:after="80"/>
        <w:ind w:left="360" w:hanging="360"/>
        <w:jc w:val="both"/>
      </w:pPr>
      <w:r>
        <w:rPr>
          <w:sz w:val="20"/>
          <w:szCs w:val="20"/>
        </w:rPr>
        <w:t xml:space="preserve">Ekman, P., Friesen, W. V., y Hager, J. C. (2002). Facial Action Coding System. Research Nexus.</w:t>
      </w:r>
    </w:p>
    <w:p>
      <w:pPr>
        <w:spacing w:after="80"/>
        <w:ind w:left="360" w:hanging="360"/>
        <w:jc w:val="both"/>
      </w:pPr>
      <w:r>
        <w:rPr>
          <w:sz w:val="20"/>
          <w:szCs w:val="20"/>
        </w:rPr>
        <w:t xml:space="preserve">Fricker, M. (2007). Epistemic Injustice: Power and the Ethics of Knowing. Oxford University Press.</w:t>
      </w:r>
    </w:p>
    <w:p>
      <w:pPr>
        <w:spacing w:after="80"/>
        <w:ind w:left="360" w:hanging="360"/>
        <w:jc w:val="both"/>
      </w:pPr>
      <w:r>
        <w:rPr>
          <w:sz w:val="20"/>
          <w:szCs w:val="20"/>
        </w:rPr>
        <w:t xml:space="preserve">Igolkina, A. A. y Meshcheryakov, G. (2020). semopy: A Python package for Structural Equation Models. arXiv:2003.05838.</w:t>
      </w:r>
    </w:p>
    <w:p>
      <w:pPr>
        <w:spacing w:after="80"/>
        <w:ind w:left="360" w:hanging="360"/>
        <w:jc w:val="both"/>
      </w:pPr>
      <w:r>
        <w:rPr>
          <w:sz w:val="20"/>
          <w:szCs w:val="20"/>
        </w:rPr>
        <w:t xml:space="preserve">Landis, J. R., y Koch, G. G. (1977). The Measurement of Observer Agreement for Categorical Data. Biometrics, 33(1), 159–174.</w:t>
      </w:r>
    </w:p>
    <w:p>
      <w:pPr>
        <w:spacing w:after="80"/>
        <w:ind w:left="360" w:hanging="360"/>
        <w:jc w:val="both"/>
      </w:pPr>
      <w:r>
        <w:rPr>
          <w:sz w:val="20"/>
          <w:szCs w:val="20"/>
        </w:rPr>
        <w:t xml:space="preserve">Lugaresi, C., et al. (2023). MediaPipe: A Framework for Perceiving and Processing Reality. CVPR Workshop.</w:t>
      </w:r>
    </w:p>
    <w:p>
      <w:pPr>
        <w:spacing w:after="80"/>
        <w:ind w:left="360" w:hanging="360"/>
        <w:jc w:val="both"/>
      </w:pPr>
      <w:r>
        <w:rPr>
          <w:sz w:val="20"/>
          <w:szCs w:val="20"/>
        </w:rPr>
        <w:t xml:space="preserve">Mann, H. B. y Whitney, D. R. (1947). On a test of whether one of two random variables is stochastically larger than the other. Annals of Mathematical Statistics, 18(1), 50–60.</w:t>
      </w:r>
    </w:p>
    <w:p>
      <w:pPr>
        <w:spacing w:after="80"/>
        <w:ind w:left="360" w:hanging="360"/>
        <w:jc w:val="both"/>
      </w:pPr>
      <w:r>
        <w:rPr>
          <w:sz w:val="20"/>
          <w:szCs w:val="20"/>
        </w:rPr>
        <w:t xml:space="preserve">Yang, W., et al. (2023). ConfliBERT-Spanish. IEEE CiSt 2023.</w:t>
      </w:r>
    </w:p>
    <w:p>
      <w:pPr>
        <w:spacing w:after="80"/>
        <w:ind w:left="360" w:hanging="360"/>
        <w:jc w:val="both"/>
      </w:pPr>
      <w:r>
        <w:rPr>
          <w:sz w:val="20"/>
          <w:szCs w:val="20"/>
        </w:rPr>
        <w:t xml:space="preserve">Zehr, H. (2002). The Little Book of Restorative Justice. Good Books.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2026-07-05T21:54:26.571Z</dcterms:created>
  <dcterms:modified xsi:type="dcterms:W3CDTF">2026-07-05T21:54:26.571Z</dcterms:modified>
</cp:coreProperties>
</file>

<file path=docProps/custom.xml><?xml version="1.0" encoding="utf-8"?>
<Properties xmlns="http://schemas.openxmlformats.org/officeDocument/2006/custom-properties" xmlns:vt="http://schemas.openxmlformats.org/officeDocument/2006/docPropsVTypes"/>
</file>