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6. Discusión y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discute el significado de los hallazgos empíricos en relación con las hipótesis del marco teórico, responde los cuestionamientos metodológicos anticipados, analiza las limitaciones de la investigación, propone líneas de trabajo futuro y formula las conclusiones de la tesis.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6.1 Discusión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6.1.1 La brecha discursiva: confirmación parcial de H₃</w:t>
      </w:r>
    </w:p>
    <w:p>
      <w:pPr>
        <w:spacing w:after="200" w:line="360" w:lineRule="auto"/>
        <w:jc w:val="both"/>
      </w:pPr>
      <w:r>
        <w:rPr>
          <w:rFonts w:ascii="Times New Roman" w:cs="Times New Roman" w:eastAsia="Times New Roman" w:hAnsi="Times New Roman"/>
          <w:sz w:val="24"/>
          <w:szCs w:val="24"/>
        </w:rPr>
        <w:t>El análisis de tamaño de efecto (Cohen's d, N_B=80) precisa la naturaleza de los hallazgos: los indicadores semánticos y de reconocimiento presentan los efectos más sustantivos. La distancia MAFAPO (y₈, d=1.39) es el discriminante más fuerte entre la justicia ordinaria y la transicional, seguida de la distancia CIDH (y₉, d=0.95) y de la Ruptura Epistémica Positiva (y₁₀ REP, d=0.61, p&lt;0.001). El EBI discrimina en dirección inversa (d=−0.41) por su carácter citativo. En contraste, la Supresión de Agentividad (y₂ SA, d=0.05, p=0.944 n.s.) es transversal al género jurídico y la Negación de Victimización (y₄ NV, d=0.01) presenta un efecto trivial. El DIS sintético, al agregar indicadores de superficie heterogéneos, no distingue significativamente los dos sistemas (p=0.0688) — la brecha reside en la dimensión epistémica (IEI), no en la discursiva de superficie.</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reveló un matiz importante: la brecha en REP léxico (y₁₀) y NV (y₄) no es significativa cuando se comparan documentos del mismo período histórico (A 2018-2023 vs B, p=0.139 y p=0.293 n.s.). Sin embargo, la brecha semántica profunda (y₈, y₉) persiste con p&lt;0.001 controlando el período. Esto indica que la cercanía al lenguaje de las víctimas y del DIH es una diferencia estructural entre los sistemas de justicia, no un artefacto temporal, mientras que la brecha en REP léxico es parcialmente explicada por la evolución temporal del lenguaje jurídico colombiano.</w:t>
      </w:r>
    </w:p>
    <w:p>
      <w:pPr>
        <w:pStyle w:val="Heading3"/>
        <w:spacing w:after="140" w:before="280"/>
        <w:outlineLvl w:val="2"/>
      </w:pPr>
      <w:r>
        <w:rPr>
          <w:rFonts w:ascii="Times New Roman" w:cs="Times New Roman" w:eastAsia="Times New Roman" w:hAnsi="Times New Roman"/>
          <w:b/>
          <w:bCs/>
          <w:i/>
          <w:iCs/>
          <w:color w:val="000000"/>
          <w:sz w:val="24"/>
          <w:szCs w:val="24"/>
        </w:rPr>
        <w:t>6.1.2 El predictor principal: la distancia al lenguaje de las víctimas</w:t>
      </w:r>
    </w:p>
    <w:p>
      <w:pPr>
        <w:spacing w:after="200" w:line="360" w:lineRule="auto"/>
        <w:ind w:firstLine="720"/>
        <w:jc w:val="both"/>
      </w:pPr>
      <w:r>
        <w:rPr>
          <w:rFonts w:ascii="Times New Roman" w:cs="Times New Roman" w:eastAsia="Times New Roman" w:hAnsi="Times New Roman"/>
          <w:color w:val="000000"/>
          <w:sz w:val="24"/>
          <w:szCs w:val="24"/>
        </w:rPr>
        <w:t>El análisis de senderos (§5.7.2) identifica la distancia semántica al lenguaje de las víctimas (y₈, centroide MAFAPO) como el predictor central de la transición epistémica: la regresión de la Ruptura Epistémica Positiva (y₁₀) sobre los indicadores de injusticia arroja un coeficiente negativo, robusto y consistente en dos universos independientes (β=−0.679 en Corpus C, β=−0.597 en el análisis tri-corpus). Cuanto mayor es la distancia del discurso respecto al lenguaje de las víctimas, menor es la ruptura epistémica positiva. Este hallazgo confirma que la transición opera principalmente a través de la adopción del vocabulario y la estructura semántica de las víctimas —la corrección de la injusticia hermenéutica— más que a través de la mera reducción de los mecanismos gramaticales de encubrimiento, en línea con el marco de Fraser (el reconocimiento como interlocutor igual es condición de la reparación).</w:t>
      </w:r>
    </w:p>
    <w:p>
      <w:pPr>
        <w:spacing w:after="200" w:line="360" w:lineRule="auto"/>
        <w:ind w:firstLine="720"/>
        <w:jc w:val="both"/>
      </w:pPr>
      <w:r>
        <w:rPr>
          <w:rFonts w:ascii="Times New Roman" w:cs="Times New Roman" w:eastAsia="Times New Roman" w:hAnsi="Times New Roman"/>
          <w:color w:val="000000"/>
          <w:sz w:val="24"/>
          <w:szCs w:val="24"/>
        </w:rPr>
        <w:t xml:space="preserve">La interpretación sustantiva es que la transición epistémica opera principalmente a través del vocabulario de las víctimas — la adopción del léxico civil, de derechos humanos y de la experiencia de las víctimas — más que a través de la reducción de los mecanismos de encubrimiento. Esto es coherente con el marco de Fraser (1995): el reconocimiento como interlocutoras iguales se manifiesta primariamente en el lenguaje que se usa para referirse a las víctimas, no en la eliminación del vocabulario militar.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6.1.3 CFH-BERT v2: aprendizaje con datos escasos</w:t>
      </w:r>
    </w:p>
    <w:p>
      <w:pPr>
        <w:spacing w:after="200" w:line="360" w:lineRule="auto"/>
        <w:ind w:firstLine="720"/>
        <w:jc w:val="both"/>
      </w:pPr>
      <w:r>
        <w:rPr>
          <w:rFonts w:ascii="Times New Roman" w:cs="Times New Roman" w:eastAsia="Times New Roman" w:hAnsi="Times New Roman"/>
          <w:color w:val="000000"/>
          <w:sz w:val="24"/>
          <w:szCs w:val="24"/>
        </w:rPr>
        <w:t xml:space="preserve">CFH-BERT v2 demuestra que el esquema IO con weighted loss supera significativamente al BIO simple con datos escasos: F1 macro pasa de 0.27 a 0.58 con las mismas 100 anotaciones. La mejora más notable es en NV (F1: 0.04 → 0.32), confirmando que el weighted loss puede compensar el desbalance extremo de clases cuando los pesos se calibran correctamente. Este resultado es consistente con la literatura sobre few-shot NER en dominios especializados (Lee et al., 2020).</w:t>
      </w:r>
    </w:p>
    <w:p>
      <w:pPr>
        <w:spacing w:after="200" w:line="360" w:lineRule="auto"/>
        <w:ind w:firstLine="720"/>
        <w:jc w:val="both"/>
      </w:pPr>
      <w:r>
        <w:rPr>
          <w:rFonts w:ascii="Times New Roman" w:cs="Times New Roman" w:eastAsia="Times New Roman" w:hAnsi="Times New Roman"/>
          <w:color w:val="000000"/>
          <w:sz w:val="24"/>
          <w:szCs w:val="24"/>
        </w:rPr>
        <w:t xml:space="preserve">El contraste entre el aprendizaje efectivo de REP (F1=0.77) y el resultado modesto de NV (F1=0.32) ilumina una asimetría discursiva importante: el reconocimiento tiene patrones lingüísticos más estables y consistentes que la negación de victimización. El REP se realiza mediante fórmulas performativas relativamente acotadas, mientras que el NV se materializa en una diversidad de estrategias retóricas que requieren más datos para aprender.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6.1.4 El NV cuestionado y el metalenguaje citativo</w:t>
      </w:r>
    </w:p>
    <w:p>
      <w:pPr>
        <w:spacing w:after="200" w:line="360" w:lineRule="auto"/>
        <w:ind w:firstLine="720"/>
        <w:jc w:val="both"/>
      </w:pPr>
      <w:r>
        <w:rPr>
          <w:rFonts w:ascii="Times New Roman" w:cs="Times New Roman" w:eastAsia="Times New Roman" w:hAnsi="Times New Roman"/>
          <w:color w:val="000000"/>
          <w:sz w:val="24"/>
          <w:szCs w:val="24"/>
        </w:rPr>
        <w:t>La sección RECONOCIMIENTO del Corpus B presenta simultáneamente alto REP y una presencia no despreciable de NV. Esta aparente paradoja se explica por el metalenguaje citativo: los comparecientes y la propia JEP citan el vocabulario de negación de victimización original para refutarlo, no para avalarlo. Este mismo fenómeno se observa, de forma independiente, en el EBI: el Corpus B presenta mayor densidad de eufemismo bélico que el Corpus A, concentrada en las secciones descriptivas y de razonamiento jurídico —donde se cita el lenguaje militar de los informes originales para nombrarlo y refutarlo— y no en las secciones de reconocimiento. La coexistencia de lenguaje reparador con vocabulario de encubrimiento en cita es una firma del procesamiento transicional del archivo, no una contradicción del modelo.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6.1.5 La supresión de agentividad como convención jurídica</w:t>
      </w:r>
    </w:p>
    <w:p>
      <w:pPr>
        <w:spacing w:after="200" w:line="360" w:lineRule="auto"/>
        <w:ind w:firstLine="720"/>
        <w:jc w:val="both"/>
      </w:pPr>
      <w:r>
        <w:rPr>
          <w:rFonts w:ascii="Times New Roman" w:cs="Times New Roman" w:eastAsia="Times New Roman" w:hAnsi="Times New Roman"/>
          <w:color w:val="000000"/>
          <w:sz w:val="24"/>
          <w:szCs w:val="24"/>
        </w:rPr>
        <w:t xml:space="preserve">El SA no difiere entre sistemas (p=0.934 n.s.) pero sí predice los outcomes de transición epistémica (β=+0.095 sobre REP, p&lt;0.001). Esto revela que la SA opera como convención del género textual jurídico en ambos sistemas, pero su magnitud varía de forma que coexiste con el reconocimiento — los documentos JEP tienen alta SA Y alto REP. Esta distinción entre SA encubridora y SA institucional-neutral es una contribución conceptual del proyecto CFH al análisis crítico del discurso jurídico.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6.1.6 Corpus C oral vs Corpus B escrito</w:t>
      </w:r>
    </w:p>
    <w:p>
      <w:pPr>
        <w:spacing w:after="200" w:line="360" w:lineRule="auto"/>
        <w:ind w:firstLine="720"/>
        <w:jc w:val="both"/>
      </w:pPr>
      <w:r>
        <w:rPr>
          <w:rFonts w:ascii="Times New Roman" w:cs="Times New Roman" w:eastAsia="Times New Roman" w:hAnsi="Times New Roman"/>
          <w:color w:val="000000"/>
          <w:sz w:val="24"/>
          <w:szCs w:val="24"/>
        </w:rPr>
        <w:t xml:space="preserve">El Corpus C (JEP oral, 38.1 horas) presenta un patrón asimétrico respecto al Corpus B escrito: la distancia MAFAPO (y₈) es menor en el oral (0.161) que en el escrito (0.191) —el lenguaje hablado está aún más cerca del léxico de las víctimas—, mientras que la distancia CIDH (y₉) es mayor en el oral (0.263) que en el escrito (0.235). El lenguaje de las audiencias orales es igualmente cercano al lenguaje de las víctimas pero más alejado del lenguaje técnico-jurídico del DIH. Esto es teóricamente coherente con Zehr (2002): los comparecientes hablan desde la experiencia vivida, no desde el derecho internacional humanitario. El análisis desagregado por hablante — mediante diarización con pyannote-audio — confirma que la voz de los magistrados es la que más se acerca al lenguaje del DIH, mientras que la voz de los comparecientes es la que más se acerca al lenguaje de MAFAPO.</w:t>
      </w:r>
    </w:p>
    <w:p>
      <w:pPr>
        <w:spacing w:after="200" w:line="360" w:lineRule="auto"/>
        <w:ind w:firstLine="720"/>
        <w:jc w:val="both"/>
      </w:pPr>
      <w:r>
        <w:rPr>
          <w:sz w:val="24"/>
          <w:szCs w:val="24"/>
        </w:rPr>
        <w:t xml:space="preserve">El análisis individual del Corpus C (Tabla 5.10) permite una comparación sistemática entre comparecientes que ningún análisis agregado por subcaso puede ofrecer. El hallazgo más relevante para la teoría de la justicia transicional es que la congruencia multimodal es un atributo individual: dentro de un mismo subcaso conviven perfiles multimodales muy diversos. Catatumbo —la primera audiencia del Macrocaso 003, descrita como catarsis colectiva— presenta el perfil de mayor tensión entre gramática directa y distancia semántica de las víctimas, mientras la materialidad del reconocimiento en Dabeiba (49 fosas del cementerio Las Mercedes) coexiste con perfiles individuales heterogéneos.</w:t>
      </w:r>
    </w:p>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hipótesis inicial de un gradiente simple por rango militar — a menor rango, mayor congruencia multimodal — no se confirma completamente: Dabeiba tiene el ICM más alto a pesar de que sus comparecientes son oficiales de rango medio (coroneles y tenientes coroneles), mientras que los soldados rasos de Huila tienen ICM=0.299. Una interpretación más robusta es por materialidad del subcaso: Dabeiba es el contexto más físicamente concreto del corpus — los comparecientes guiaron personalmente a los investigadores a 49 fosas en el cementerio Las Mercedes de Dabeiba, donde se recuperaron los cuerpos de las víctimas. Esta materialidad puede generar mayor distress facial independientemente del rango, al activar memorias episódicas del acto criminal concreto en lugar de una narrativa institucional abstracta.</w:t>
      </w:r>
    </w:p>
    <w:p>
      <w:pPr>
        <w:spacing w:after="200" w:line="360" w:lineRule="auto"/>
        <w:ind w:firstLine="720"/>
        <w:jc w:val="both"/>
      </w:pPr>
      <w:r>
        <w:rPr>
          <w:rFonts w:ascii="Times New Roman" w:cs="Times New Roman" w:eastAsia="Times New Roman" w:hAnsi="Times New Roman"/>
          <w:color w:val="000000"/>
          <w:sz w:val="24"/>
          <w:szCs w:val="24"/>
        </w:rPr>
        <w:t xml:space="preserve">Un hallazgo robusto del análisis individual es el perfil de Torres Escalante (Casanare): presenta la mayor sonrisa (AU12) y el menor ceño (AU4) entre los comparecientes con buena detección, un patrón facial contenido que contrasta marcadamente con su canal vocal —el más alto del corpus. El General Torres Escalante es el compareciente de mayor rango del corpus, con mayor experiencia en comunicación institucional. En el otro extremo, varios comparecientes de Huila y Dabeiba presentan alto distress facial (AU4 elevado) con baja sonrisa.</w:t>
      </w:r>
    </w:p>
    <w:p>
      <w:pPr>
        <w:spacing w:after="200" w:line="360" w:lineRule="auto"/>
        <w:ind w:firstLine="720"/>
        <w:jc w:val="both"/>
      </w:pPr>
      <w:r>
        <w:rPr>
          <w:sz w:val="24"/>
          <w:szCs w:val="24"/>
        </w:rPr>
        <w:t xml:space="preserve">El canal prosódico (ICM vocal) confirma y matiza el hallazgo facial. El caso de Torres Escalante (Casanare) constituye el hallazgo más interpretativo de la Capa 3: su canal vocal es el más alto del corpus (0.624, con el shimmer más elevado, indicando alta carga emocional prosódica) mientras su canal facial es comparativamente bajo (0.346). Esta divergencia entre los dos canales no verbales (Δ=0.278) es la mayor del corpus: la voz comunica distress prosódico mientras el rostro mantiene una expresión contenida. Los dos canales apuntan en direcciones opuestas —una incongruencia entre canales no verbales que ningún análisis monomodal podría capturar.</w:t>
      </w:r>
    </w:p>
    <w:p>
      <w:pPr>
        <w:spacing w:after="200" w:line="360" w:lineRule="auto"/>
        <w:ind w:firstLine="720"/>
        <w:jc w:val="both"/>
      </w:pPr>
      <w:r>
        <w:rPr>
          <w:sz w:val="24"/>
          <w:szCs w:val="24"/>
        </w:rPr>
        <w:t xml:space="preserve">El ICM tri-canal (0.40·facial + 0.40·vocal + 0.20·verbal), calculado a nivel individual del compareciente, revela que la congruencia multimodal es un atributo del compareciente y no del subcaso: la dispersión intra-subcaso es sustancial y, en Huila y Dabeiba, supera las diferencias entre las medias de los subcasos. El Capitán Chaparro (Catatumbo) ejemplifica la disociación léxico-semántica: pese a un perfil facial-vocal relativamente congruente, su canal verbal es el más distante del lenguaje de MAFAPO (y₈=0.179) —habla en la audiencia con el mayor distanciamiento semántico respecto al lenguaje de las víctimas, el canal que más importa para la reparación simbólica. La validación de robustez de los pesos (§5.16) confirma que el ordenamiento de comparecientes es estable ante variaciones razonables de la ponderación.</w:t>
      </w:r>
    </w:p>
    <w:p>
      <w:pPr>
        <w:spacing w:after="200" w:line="360" w:lineRule="auto"/>
        <w:ind w:firstLine="720"/>
        <w:jc w:val="both"/>
      </w:pPr>
      <w:r>
        <w:rPr>
          <w:sz w:val="24"/>
          <w:szCs w:val="24"/>
        </w:rPr>
        <w:t xml:space="preserve">6.1.8 La disociación de canales como hallazgo central del Corpus C
El análisis integrado del Corpus C con los seis indicadores CFH (y₂, y₄, y₁₀, y₈, y₉ más ICM tri-canal) revela que la disociación entre canales discursivos es el patrón estructural dominante en las audiencias de reconocimiento JEP. En ningún subcaso todos los indicadores apuntan en la misma dirección simultaneamente.
Casanare (Torres Escalante) presenta el perfil de mayor distancia discursiva multi-indicador: mayor y₂ SA (0.974), mayor y₄ NV (0.483). La voz comunica distress prosódico alto (el shimmer mayor del corpus) mientras la cara comunica una expresión contenida (AU12 alto, AU4 bajo) — los canales no verbales apuntan en direcciones opuestas (Δ vocal-facial=0.278, la mayor del corpus).
Catatumbo (Capitán Chaparro) produce el hallazgo más contraintuitivo: menor y₂ SA (0.532) y menor y₄ NV (0.220) — el discurso más gramaticalmente directo y con menor negación de victimización — pero su canal semántico es el más distante del lenguaje de MAFAPO (y₈=0.179). Habla directamente pero habla lejos de las víctimas.
Dabeiba (12 comparecientes) presenta una de las mayores dispersiones individuales del corpus (ICM de 0.242 a 0.498) y baja distancia MAFAPO (y₈=0.189). La materialidad del reconocimiento —49 fosas físicamente recuperadas en el cementerio Las Mercedes— coexiste con perfiles multimodales individuales diversos, lo que matiza una lectura uniforme del subcaso.
Huila (suboficial y otros) es el subcaso semánticamente más cercano a las víctimas: menor distancia MAFAPO (y₈=0.186) y mayor lenguaje reparatorio (y₁₀=0.147).
Esta disociación valida metodológicamente la arquitectura multi-capa del framework CFH: un análisis mono-canal hubiera producido conclusiones erróneas. El ICM tri-canal sintetiza la información de tres canales en un índice interpretativo que captura la coherencia discursiva global.</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descrita por la magistrada Catalina Díaz como una 'catarsis colectiva'. El AU15 elevado del Capitán Chaparro puede reflejar la intensidad emocional singular del primer encuentro público con las víctimas, sin el precedente institucional de audiencias anteriores.</w:t>
      </w:r>
    </w:p>
    <w:p>
      <w:pPr>
        <w:spacing w:after="200" w:line="360" w:lineRule="auto"/>
        <w:ind w:firstLine="720"/>
        <w:jc w:val="both"/>
      </w:pPr>
      <w:r>
        <w:rPr>
          <w:rFonts w:ascii="Times New Roman" w:cs="Times New Roman" w:eastAsia="Times New Roman" w:hAnsi="Times New Roman"/>
          <w:color w:val="000000"/>
          <w:sz w:val="24"/>
          <w:szCs w:val="24"/>
        </w:rPr>
        <w:t>La tasa de detección facial varía entre comparecientes, lo que se incorpora explícitamente a la marca de robustez individual (sólido / mínimo): los comparecientes con evidencia escasa en algún canal se señalan como robustez mínima para transparencia metodológica. Costa Caribe (subcaso La Popa, julio 2022) fue incorporado plenamente al análisis con el canal facial reextraído de forma homogénea (5.396 frames), completando el Corpus C en los cinco subcasos del Macrocaso 003.</w:t>
      </w:r>
    </w:p>
    <w:p>
      <w:pPr>
        <w:spacing w:after="200" w:line="360" w:lineRule="auto"/>
        <w:ind w:firstLine="720"/>
        <w:jc w:val="both"/>
      </w:pPr>
      <w:r>
        <w:rPr>
          <w:sz w:val="24"/>
          <w:szCs w:val="24"/>
        </w:rPr>
        <w:t xml:space="preserve">Una limitación metodológica crítica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rFonts w:ascii="Times New Roman" w:cs="Times New Roman" w:eastAsia="Times New Roman" w:hAnsi="Times New Roman"/>
          <w:b/>
          <w:sz w:val="24"/>
          <w:szCs w:val="24"/>
        </w:rPr>
        <w:t xml:space="preserve">Supresión de Action Units bucales por el habla. </w:t>
      </w:r>
      <w:r>
        <w:rPr>
          <w:rFonts w:ascii="Times New Roman" w:cs="Times New Roman" w:eastAsia="Times New Roman" w:hAnsi="Times New Roman"/>
          <w:sz w:val="24"/>
          <w:szCs w:val="24"/>
        </w:rPr>
        <w:t xml:space="preserve">El análisis de la composición del distress facial (§5.9) reveló un comportamiento que enriquece la interpretación del canal facial en contextos forenses orales: las Action Units de la región bucal (AU15, AU17) muestran supresión sistemática durante el habla —AU17 desciende cerca del 80% en los frames de habla activa—, mientras AU4 (ceño), independiente del aparato fonador, permanece como el indicador de distress más estable. Esto implica que, en audiencias donde los comparecientes hablan de forma continua, la señal facial de distress se concentra en la región frontal. Lejos de invalidar la medición, este hallazgo precisa su alcance y constituye una contribución metodológica al análisis facial multimodal en escenarios de habla.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6.2 Respuesta a cuestionamientos anticipados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6.2.1 ¿La JEP está obligada por mandato a producir REP?</w:t>
      </w:r>
    </w:p>
    <w:p>
      <w:pPr>
        <w:spacing w:after="200" w:line="360" w:lineRule="auto"/>
        <w:ind w:firstLine="720"/>
        <w:jc w:val="both"/>
      </w:pPr>
      <w:r>
        <w:rPr>
          <w:rFonts w:ascii="Times New Roman" w:cs="Times New Roman" w:eastAsia="Times New Roman" w:hAnsi="Times New Roman"/>
          <w:color w:val="000000"/>
          <w:sz w:val="24"/>
          <w:szCs w:val="24"/>
        </w:rPr>
        <w:t xml:space="preserve">Si el REP del Corpus B fuera únicamente un artefacto del mandato normativo del Acto Legislativo 01 de 2017, debería distribuirse uniformemente en todas las secciones JEP. Sin embargo, la sección PATRONES_MACROCRIMINALES tiene REP=0.000 y la sección RECONOCIMIENTO tiene REP máximo=0.849. Esta heterogeneidad interna es incompatible con un artefacto normativo uniforme. Adicionalmente, el control temporal muestra que la brecha semántica (y₈, y₉) persiste incluso comparando documentos contemporáneos — lo que no podría explicarse por el mandato normativo.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6.2.2 ¿Los géneros textuales son comparables?</w:t>
      </w:r>
    </w:p>
    <w:p>
      <w:pPr>
        <w:spacing w:after="200" w:line="360" w:lineRule="auto"/>
        <w:ind w:firstLine="720"/>
        <w:jc w:val="both"/>
      </w:pPr>
      <w:r>
        <w:rPr>
          <w:rFonts w:ascii="Times New Roman" w:cs="Times New Roman" w:eastAsia="Times New Roman" w:hAnsi="Times New Roman"/>
          <w:color w:val="000000"/>
          <w:sz w:val="24"/>
          <w:szCs w:val="24"/>
        </w:rPr>
        <w:t xml:space="preserve">La incomparabilidad de géneros es el objeto de estudio, no una limitación (Swales, 1990; Bhatia, 1993). La CFH mide la distancia entre géneros como evidencia de la brecha discursiva. Adicionalmente, la varianza interna dentro del Corpus A — CE presenta mayor REP que CSJ (0.101 vs 0.059) pese a pertenecer al mismo sistema — indica que los extractores capturan variación semántica más allá de las diferencias de género.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6.2.3 ¿La brecha es temporal, no estructural?</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responde directamente: la brecha semántica profunda (y₈ MAFAPO y y₉ CIDH) es estructural — persiste con p&lt;0.001 comparando documentos del mismo período 2018-2023. La brecha en REP léxico es parcialmente temporal, lo que se reporta con transparencia como un matiz importante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6.2.4 ¿El SEM no converge?</w:t>
      </w:r>
    </w:p>
    <w:p>
      <w:pPr>
        <w:spacing w:after="200" w:line="360" w:lineRule="auto"/>
        <w:ind w:firstLine="720"/>
        <w:jc w:val="both"/>
      </w:pPr>
      <w:r>
        <w:rPr>
          <w:rFonts w:ascii="Times New Roman" w:cs="Times New Roman" w:eastAsia="Times New Roman" w:hAnsi="Times New Roman"/>
          <w:color w:val="000000"/>
          <w:sz w:val="24"/>
          <w:szCs w:val="24"/>
        </w:rPr>
        <w:t>El modelo SEM con variables latentes completo no resultó identificable con el tamaño del Corpus C (n=47): esta es una limitación estructural reportada con transparencia, no un fracaso oculto. El análisis de senderos sobre indicadores observados y los modelos SEM exploratorios producen coeficientes interpretables —notablemente la relación robusta y₈→y₁₀—, y constituyen el nivel de modelado estructural apropiado para el tamaño muestral disponible. El modelado latente confirmatorio queda como línea futura condicionada a la ampliación del corpus oral.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6.3 Limitaciones de la investigación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6.3.1 Limitaciones del corpus</w:t>
      </w:r>
    </w:p>
    <w:p>
      <w:pPr>
        <w:spacing w:after="200" w:line="360" w:lineRule="auto"/>
        <w:ind w:firstLine="720"/>
        <w:jc w:val="both"/>
      </w:pPr>
      <w:r>
        <w:rPr>
          <w:rFonts w:ascii="Times New Roman" w:cs="Times New Roman" w:eastAsia="Times New Roman" w:hAnsi="Times New Roman"/>
          <w:color w:val="000000"/>
          <w:sz w:val="24"/>
          <w:szCs w:val="24"/>
        </w:rPr>
        <w:t>El Corpus B se analiza a nivel de sus 80 secciones temáticas, extraídas de 14 documentos únicos de la SRVR del Macrocaso 003 disponibles públicamente al cierre del corpus. El Corpus C (38.1 horas, 5 audiencias, 47 comparecientes) amplía el análisis al registro oral con diarización y marcación por compareciente. La tasa de detección facial varía entre audiencias, lo que limita la comparabilidad inter-audiencia en el canal facial del ICM. El canal facial del subcaso Costa Caribe (La Popa, julio 2022) fue reextraído de forma homogénea con MediaPipe FaceLandmarker, completando el Corpus C en los cinco subcasos. En cuanto a la normalización, el ICM tri-canal adopta un criterio diferenciado por canal: el facial se normaliza por z-score comparativo sobre el corpus, el vocal mediante una escala fija anclada en valores de referencia de la literatura, y el verbal como proporción del discurso reparador. Este diseño evita que el índice dependa de los percentiles internos de la muestra y fortalece su reproducibilidad. La comparabilidad estricta con corpus externos requiere validación adicional de transferibilidad.</w:t>
      </w:r>
    </w:p>
    <w:p>
      <w:pPr>
        <w:pStyle w:val="Heading3"/>
        <w:spacing w:after="140" w:before="280"/>
        <w:outlineLvl w:val="2"/>
      </w:pPr>
      <w:r>
        <w:rPr>
          <w:rFonts w:ascii="Times New Roman" w:cs="Times New Roman" w:eastAsia="Times New Roman" w:hAnsi="Times New Roman"/>
          <w:b/>
          <w:bCs/>
          <w:i/>
          <w:iCs/>
          <w:color w:val="000000"/>
          <w:sz w:val="24"/>
          <w:szCs w:val="24"/>
        </w:rPr>
        <w:t xml:space="preserve">6.3.2 Limitaciones de los extractores</w:t>
      </w:r>
    </w:p>
    <w:p>
      <w:pPr>
        <w:spacing w:after="200" w:line="360" w:lineRule="auto"/>
        <w:ind w:firstLine="720"/>
        <w:jc w:val="both"/>
      </w:pPr>
      <w:r>
        <w:rPr>
          <w:rFonts w:ascii="Times New Roman" w:cs="Times New Roman" w:eastAsia="Times New Roman" w:hAnsi="Times New Roman"/>
          <w:color w:val="000000"/>
          <w:sz w:val="24"/>
          <w:szCs w:val="24"/>
        </w:rPr>
        <w:t>Los extractores léxico-sintácticos y₂-y₄ e y₁₀ fueron construidos sin fine-tuning supervisado. CFH-BERT v2 mejora significativamente sobre v1 (F1 macro: 0.27 → 0.58) pero sigue siendo un modelo piloto con 100 anotaciones. La versión definitiva se entrenará sobre un conjunto ampliado de anotaciones, partiendo del acuerdo inter-anotador sustancial ya alcanzado (κ global = 0.722 en dos rondas). El extractor y₁ EBI mantiene score=0.0 en todos los documentos — el fine-tuning supervisado es la tarea técnica más crítica pendiente.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6.3.3 Limitaciones estadísticas</w:t>
      </w:r>
    </w:p>
    <w:p>
      <w:pPr>
        <w:spacing w:after="200" w:line="360" w:lineRule="auto"/>
        <w:jc w:val="both"/>
      </w:pPr>
      <w:r>
        <w:rPr>
          <w:rFonts w:ascii="Times New Roman" w:cs="Times New Roman" w:eastAsia="Times New Roman" w:hAnsi="Times New Roman"/>
          <w:sz w:val="24"/>
          <w:szCs w:val="24"/>
        </w:rPr>
        <w:t>El análisis de Cohen's d (N_B=80) confirma que los efectos sustantivos residen en los indicadores semánticos (y₈ d=1.39, y₉ d=0.95) y en el reconocimiento (y₁₀ d=0.61), mientras el DIS agregado no distingue significativamente los dos sistemas (p=0.0688). La magnitud práctica de la brecha reside en la cercanía al lenguaje de las víctimas y en el reconocimiento —sintetizados en el IEI—, no en el índice discursivo de superficie agregado.</w:t>
      </w:r>
    </w:p>
    <w:p>
      <w:pPr>
        <w:pStyle w:val="Heading3"/>
        <w:spacing w:after="140" w:before="280"/>
        <w:outlineLvl w:val="2"/>
      </w:pPr>
      <w:r>
        <w:rPr>
          <w:rFonts w:ascii="Times New Roman" w:cs="Times New Roman" w:eastAsia="Times New Roman" w:hAnsi="Times New Roman"/>
          <w:b/>
          <w:bCs/>
          <w:i/>
          <w:iCs/>
          <w:color w:val="000000"/>
          <w:sz w:val="24"/>
          <w:szCs w:val="24"/>
        </w:rPr>
        <w:t xml:space="preserve">6.3.4 Limitaciones epistemológicas y éticas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epistemológica es que la brecha en REP léxico es parcialmente temporal — los documentos recientes del CE también tienen mayor REP. La brecha semántica profunda (y₈, y₉) es estructural, pero el REP léxico requiere interpretación cuidadosa.</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ética concierne al uso de los testimonios de MAFAPO como corpus de referencia técnica. Los textos utilizados son comunicados públicos producidos para ser conocidos — no testimonios privados. Sin embargo, existe una tensión ética entre usar el lenguaje de las víctimas como referencia técnica y la participación directa de las organizaciones en el diseño del sistema. Como trabajo futuro se propone una fase de validación participativa con MAFAPO donde las propias organizaciones evalúen si los resultados CFH son coherentes con sus demandas de reconocimiento.</w:t>
      </w:r>
    </w:p>
    <w:p>
      <w:pPr>
        <w:spacing w:after="120"/>
      </w:pPr>
      <w:r>
        <w:rPr>
          <w:rFonts w:ascii="Times New Roman" w:cs="Times New Roman" w:eastAsia="Times New Roman" w:hAnsi="Times New Roman"/>
          <w:color w:val="000000"/>
          <w:sz w:val="24"/>
          <w:szCs w:val="24"/>
        </w:rPr>
        <w:t xml:space="preserve"/>
      </w:r>
    </w:p>
    <w:p>
      <w:pPr>
        <w:pStyle w:val="Normal"/>
      </w:pPr>
      <w:r>
        <w:rPr/>
        <w:t xml:space="preserve">D5 — ICM con N=5 subcasos: N=5 es el universo completo de audiencias disponibles del Macrocaso 003 — no una muestra. El análisis ICM no tiene pretensión inferencial estadística: es un análisis de perfiles que describe la configuración multimodal de cada compareciente. Las correlaciones reportadas (rho=+0.90 entre DIS y dis_tri) son exploratorias. La contribución del ICM es metodológica — demostrar la viabilidad del análisis tri-canal en el archivo judicial colombiano.</w:t>
      </w:r>
    </w:p>
    <w:p>
      <w:pPr>
        <w:pStyle w:val="Normal"/>
      </w:pPr>
      <w:r>
        <w:rPr/>
        <w:t>D4 — Tamaño del Corpus B: las 80 secciones del Corpus B corresponden a los 14 documentos JEP del Macrocaso 003 disponibles públicamente al cierre del corpus —una restricción institucional, no una decisión muestral. El poder estadístico para detectar efectos pequeños con este tamaño es limitado, lo que afecta la comparación A vs B en los indicadores de efecto reducido, pero no compromete los hallazgos de efecto grande (y₈, y₉, REP) ni los resultados del Corpus C. Se propone ampliar el Corpus B en trabajos futuros a medida que la JEP publique nuevas providencias.</w:t>
      </w:r>
    </w:p>
    <w:p>
      <w:pPr>
        <w:pStyle w:val="Normal"/>
      </w:pPr>
      <w:r>
        <w:rPr/>
        <w:t>D3 — La ausencia de discriminación del DIS agregado: el DIS, al combinar la supresión de agentividad (transversal al género jurídico) con el eufemismo bélico y el reconocimiento, diluye en el agregado la señal de los componentes que sí discriminan. Esta dilución por agregación es la razón de que el índice compuesto no separe los sistemas, mientras que sus componentes individuales (REP) y el IEI sí lo hacen. No es un defecto del índice sino una propiedad de la estructura de los datos: la injusticia discursiva de superficie es en buena medida compartida por ambos sistemas de justicia.</w:t>
      </w:r>
    </w:p>
    <w:p>
      <w:pPr>
        <w:pStyle w:val="Normal"/>
      </w:pPr>
      <w:r>
        <w:rPr/>
        <w:t>D2 — La asimetría entre el DIS y el IEI no es un fallo del modelo: es el hallazgo central. El DIS mide la injusticia discursiva de superficie —estructural al campo jurídico en ambos sistemas, en el sentido habermasiano— mientras el IEI mide la injusticia epistémica frickeriana, que sí diferencia la justicia ordinaria de la transicional. La baja correlación empírica entre ambos índices demuestra que capturan dimensiones independientes del daño. Un modelo en el que ambos discriminaran de igual forma sería redundante; su disociación es precisamente lo que revela la estructura multidimensional de la injusticia.</w:t>
      </w:r>
    </w:p>
    <w:p>
      <w:pPr>
        <w:pStyle w:val="Normal"/>
      </w:pPr>
      <w:r>
        <w:rPr/>
        <w:t>D1 — Que el DIS agregado no discrimine significativamente la justicia ordinaria de la transicional escrita (p=0.0688) es coherente con el marco teórico, no una debilidad. La supresión de agentividad y los mecanismos discursivos de superficie son constitutivos del lenguaje jurídico-institucional colombiano en ambos sistemas —la distorsión habermasiana del campo jurídico. La brecha entre sistemas es epistémica: se manifiesta en el IEI (la cercanía al lenguaje de las víctimas y la reducción del déficit de credibilidad), no en la gramática discursiva de superficie. Este resultado es teóricamente consistente con Habermas y con Fricker.</w:t>
      </w:r>
    </w:p>
    <w:p>
      <w:pPr>
        <w:pStyle w:val="Heading3"/>
        <w:spacing w:after="140" w:before="280"/>
        <w:outlineLvl w:val="2"/>
      </w:pPr>
      <w:r>
        <w:rPr>
          <w:rFonts w:ascii="Times New Roman" w:cs="Times New Roman" w:eastAsia="Times New Roman" w:hAnsi="Times New Roman"/>
          <w:b/>
          <w:bCs/>
          <w:i/>
          <w:iCs/>
          <w:color w:val="000000"/>
          <w:sz w:val="24"/>
          <w:szCs w:val="24"/>
        </w:rPr>
        <w:t>6.3.5 Marco de inteligencia artificial responsable y cumplimiento normativo</w:t>
      </w:r>
    </w:p>
    <w:p>
      <w:pPr>
        <w:spacing w:after="200" w:line="360" w:lineRule="auto"/>
        <w:ind w:firstLine="720"/>
        <w:jc w:val="both"/>
      </w:pPr>
      <w:r>
        <w:rPr>
          <w:rFonts w:ascii="Times New Roman" w:cs="Times New Roman" w:eastAsia="Times New Roman" w:hAnsi="Times New Roman"/>
          <w:color w:val="000000"/>
          <w:sz w:val="24"/>
          <w:szCs w:val="24"/>
        </w:rPr>
        <w:t>El desarrollo de la CFH se enmarca deliberadamente en los principios de la inteligencia artificial responsable, dada la sensibilidad del dominio —el archivo judicial de crímenes de lesa humanidad— y de los sujetos concernidos —las víctimas de los falsos positivos. El framework se diseñó para ser conforme con los marcos normativos nacionales e internacionales aplicables al uso de IA en contextos de administración de justicia y derechos humanos.</w:t>
      </w:r>
    </w:p>
    <w:p>
      <w:pPr>
        <w:spacing w:after="200" w:line="360" w:lineRule="auto"/>
        <w:ind w:firstLine="720"/>
        <w:jc w:val="both"/>
      </w:pPr>
      <w:r>
        <w:rPr>
          <w:rFonts w:ascii="Times New Roman" w:cs="Times New Roman" w:eastAsia="Times New Roman" w:hAnsi="Times New Roman"/>
          <w:color w:val="000000"/>
          <w:sz w:val="24"/>
          <w:szCs w:val="24"/>
        </w:rPr>
        <w:t>En el plano nacional, la Directiva Presidencial 007 de 2019 y el marco de política pública colombiano sobre transformación digital e inteligencia artificial (CONPES 3975 de 2019) establecen principios de transparencia, responsabilidad, no discriminación y supervisión humana en el uso de sistemas de IA por parte del Estado y en asuntos de interés público. La CFH se alinea con estos principios: su código y sus datos de referencia son públicos y auditables, sus indicadores son interpretables y trazables a marcos teóricos explícitos, y toda inferencia del sistema está sujeta a verificación humana mediante el proceso de anotación y la fiabilidad inter-anotador.</w:t>
      </w:r>
    </w:p>
    <w:p>
      <w:pPr>
        <w:spacing w:after="200" w:line="360" w:lineRule="auto"/>
        <w:ind w:firstLine="720"/>
        <w:jc w:val="both"/>
      </w:pPr>
      <w:r>
        <w:rPr>
          <w:rFonts w:ascii="Times New Roman" w:cs="Times New Roman" w:eastAsia="Times New Roman" w:hAnsi="Times New Roman"/>
          <w:color w:val="000000"/>
          <w:sz w:val="24"/>
          <w:szCs w:val="24"/>
        </w:rPr>
        <w:t>En el plano internacional, el marco se orienta por cuatro referentes. El Reglamento Europeo de Inteligencia Artificial (AI Act, Reglamento UE 2024/1689) clasifica como de alto riesgo los sistemas de IA empleados en la administración de justicia; aunque la CFH es una herramienta de investigación y no un sistema de decisión judicial automatizada, adopta las salvaguardas exigidas a esa categoría: transparencia, documentación técnica, supervisión humana y ausencia de decisiones automatizadas sobre personas. El Reglamento General de Protección de Datos (GDPR) informa el tratamiento de la información: la CFH opera exclusivamente sobre documentos públicos y testimonios difundidos públicamente por las propias organizaciones de víctimas, sin procesar datos personales privados ni reidentificar individuos. El AI Risk Management Framework del NIST (Estados Unidos, 2023) orienta la gestión de riesgos del sistema mediante la declaración explícita de limitaciones y sesgos. Y los Principios de la OCDE sobre Inteligencia Artificial (2019) —IA confiable, centrada en el ser humano y respetuosa de los derechos— enmarcan el propósito último del framework.</w:t>
      </w:r>
    </w:p>
    <w:p>
      <w:pPr>
        <w:spacing w:after="200" w:line="360" w:lineRule="auto"/>
        <w:ind w:firstLine="720"/>
        <w:jc w:val="both"/>
      </w:pPr>
      <w:r>
        <w:rPr>
          <w:rFonts w:ascii="Times New Roman" w:cs="Times New Roman" w:eastAsia="Times New Roman" w:hAnsi="Times New Roman"/>
          <w:color w:val="000000"/>
          <w:sz w:val="24"/>
          <w:szCs w:val="24"/>
        </w:rPr>
        <w:t>La conformidad de la CFH con estos marcos se concreta en cinco principios operativos. Primero, transparencia y reproducibilidad: el pipeline completo, los centroides de referencia y el protocolo de anotación están disponibles en un repositorio público, acompañados de un paquete reproducible auditado. Segundo, explicabilidad: los indicadores del framework son interpretables y están anclados en teoría —no constituyen una caja negra—, de modo que cada medición puede rastrearse hasta su fundamento conceptual. Tercero, no maleficencia: el Índice de Congruencia Multimodal (ICM) no infiere sinceridad, culpabilidad ni estados psicológicos internos —lo declara explícitamente—, evitando el riesgo de que la herramienta se emplee para juzgar la autenticidad individual de un compareciente. Cuarto, supervisión humana: las categorías se validan mediante anotación humana doble-ciega y acuerdo inter-anotador, y el sistema no produce decisiones automatizadas. Quinto, equidad y reconocimiento de sesgos: se documenta explícitamente que los modelos faciales no han sido auditados sobre rostros mestizos, afrocolombianos o indígenas (Buolamwini y Gebru, 2018), y los resultados de la Capa 3 se reportan con las salvaguardas epistemológicas correspondientes.</w:t>
      </w:r>
    </w:p>
    <w:p>
      <w:pPr>
        <w:spacing w:after="200" w:line="360" w:lineRule="auto"/>
        <w:ind w:firstLine="720"/>
        <w:jc w:val="both"/>
      </w:pPr>
      <w:r>
        <w:rPr>
          <w:rFonts w:ascii="Times New Roman" w:cs="Times New Roman" w:eastAsia="Times New Roman" w:hAnsi="Times New Roman"/>
          <w:color w:val="000000"/>
          <w:sz w:val="24"/>
          <w:szCs w:val="24"/>
        </w:rPr>
        <w:t>Este encuadre normativo no es accesorio al propósito de la CFH sino constitutivo de él. Un framework que audita el lenguaje del Estado desde la perspectiva de las víctimas debe someterse, en su propio diseño, a los estándares de responsabilidad que reclama para el ejercicio del poder institucional. La reparación algorítmica que la CFH propone sería incoherente si el instrumento mismo reprodujera la opacidad o la asimetría epistémica que denuncia. Por ello, la conformidad con los marcos de IA responsable es, en esta tesis, una condición de coherencia entre el método y su finalidad ética.</w:t>
      </w:r>
    </w:p>
    <w:p>
      <w:pPr>
        <w:pStyle w:val="Normal"/>
      </w:pPr>
      <w:r>
        <w:rPr/>
        <w:t xml:space="preserve">La evaluación crítica del framework CFH identificó cinco debilidades metodológicas que se documentan aquí con la evidencia empírica disponible.</w:t>
      </w:r>
    </w:p>
    <w:p>
      <w:pPr>
        <w:pStyle w:val="Heading 3"/>
      </w:pPr>
      <w:r>
        <w:rPr/>
        <w:t xml:space="preserve">6.3.5 Debilidades identificadas y respuestas metodológicas</w:t>
      </w:r>
    </w:p>
    <w:p>
      <w:pPr>
        <w:pStyle w:val="Heading2"/>
        <w:spacing w:after="180" w:before="360"/>
        <w:outlineLvl w:val="1"/>
      </w:pPr>
      <w:r>
        <w:rPr>
          <w:rFonts w:ascii="Times New Roman" w:cs="Times New Roman" w:eastAsia="Times New Roman" w:hAnsi="Times New Roman"/>
          <w:b/>
          <w:bCs/>
          <w:color w:val="000000"/>
          <w:sz w:val="26"/>
          <w:szCs w:val="26"/>
        </w:rPr>
        <w:t xml:space="preserve">6.4 Líneas de trabajo futuro</w:t>
      </w:r>
    </w:p>
    <w:p>
      <w:pPr>
        <w:spacing w:after="200" w:line="360" w:lineRule="auto"/>
        <w:ind w:firstLine="720"/>
        <w:jc w:val="both"/>
      </w:pPr>
      <w:r>
        <w:rPr>
          <w:rFonts w:ascii="Times New Roman" w:cs="Times New Roman" w:eastAsia="Times New Roman" w:hAnsi="Times New Roman"/>
          <w:b/>
          <w:bCs/>
          <w:color w:val="000000"/>
          <w:sz w:val="24"/>
          <w:szCs w:val="24"/>
        </w:rPr>
        <w:t>Corto plazo (antes de agosto 2026): ampliar la anotación con un segundo anotador sobre un conjunto mayor de fragmentos para robustecer el entrenamiento de CFH-BERT en su versión definitiva, partiendo del acuerdo inter-anotador sustancial ya alcanzado (κ global = 0.722 en dos rondas). Consolidar la extracción de features acústicas eGeMAPS sobre los segmentos de compareciente para el ICM tri-canal. Avanzar hacia la estimación de un modelo estructural con variables latentes a medida que el corpus oral se amplíe, dado que el tamaño actual (n=47) restringe el modelado latente al plano exploratorio.</w:t>
      </w:r>
      <w:r>
        <w:rPr>
          <w:rFonts w:ascii="Times New Roman" w:cs="Times New Roman" w:eastAsia="Times New Roman" w:hAnsi="Times New Roman"/>
          <w:color w:val="000000"/>
          <w:sz w:val="24"/>
          <w:szCs w:val="24"/>
        </w:rPr>
      </w:r>
    </w:p>
    <w:p>
      <w:pPr>
        <w:spacing w:after="200" w:line="360" w:lineRule="auto"/>
        <w:ind w:firstLine="720"/>
        <w:jc w:val="both"/>
      </w:pPr>
      <w:r>
        <w:rPr>
          <w:sz w:val="24"/>
          <w:szCs w:val="24"/>
        </w:rPr>
        <w:t xml:space="preserve">Las features eGeMAPS v02 fueron extraídas con OpenSMILE sobre 10.897 ventanas (4 subcasos), el ICM vocal del compareciente fue calculado mediante cruce con las diarizaciones AUs, y el ICM tri-canal ponderado fue calculado e integrado en el análisis presentado en el §5.11. Pendiente para trabajo futuro: integración en el modelo SEM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Mediano plazo (2026-2027): </w:t>
      </w:r>
      <w:r>
        <w:rPr>
          <w:rFonts w:ascii="Times New Roman" w:cs="Times New Roman" w:eastAsia="Times New Roman" w:hAnsi="Times New Roman"/>
          <w:color w:val="000000"/>
          <w:sz w:val="24"/>
          <w:szCs w:val="24"/>
        </w:rPr>
        <w:t xml:space="preserve">extracción de features acústicas y₁₂ con OpenSMILE sobre el Corpus C. Re-estimación del modelo SEM con 12 indicadores incluyendo la dimensión multimodal oral-escrita. Fase de validación participativa con MAFAPO y otras organizaciones de víctimas del Caso 03, transformando la CFH en un instrumento de construcción conjunta de conocimiento. Dos validaciones complementarias del ICM se plantean como trabajo futuro, no como requisito de la presente investigación. Primera, la validación perceptual: la correlación entre el ICM calculado y la percepción humana de congruencia comunicativa —la coherencia entre lo que el compareciente dice y cómo lo expresa vocal y facialmente— sobre una muestra de segmentos del Corpus C, siguiendo el procedimiento de Baird y Coutinho (2019); coherentemente con las salvaguardas del índice, esta validación contrasta la congruencia entre canales, no la sinceridad psicológica individual. Segunda, la auditoría intersectional del canal facial conforme al protocolo Gender Shades (Buolamwini y Gebru, 2018), para evaluar si la tasa de detección de MediaPipe FaceLandmarker varía sistemáticamente según el tono de piel o los rasgos étnicos de los comparecientes —una verificación de equidad del instrumento especialmente pertinente en un corpus de comparecientes mestizos y afrocolombianos.</w:t>
      </w:r>
    </w:p>
    <w:p>
      <w:pPr>
        <w:spacing w:after="200" w:line="360" w:lineRule="auto"/>
        <w:ind w:firstLine="720"/>
        <w:jc w:val="both"/>
      </w:pPr>
      <w:r>
        <w:rPr>
          <w:rFonts w:ascii="Times New Roman" w:cs="Times New Roman" w:eastAsia="Times New Roman" w:hAnsi="Times New Roman"/>
          <w:b/>
          <w:bCs/>
          <w:color w:val="000000"/>
          <w:sz w:val="24"/>
          <w:szCs w:val="24"/>
        </w:rPr>
        <w:t xml:space="preserve">Largo plazo: </w:t>
      </w:r>
      <w:r>
        <w:rPr>
          <w:rFonts w:ascii="Times New Roman" w:cs="Times New Roman" w:eastAsia="Times New Roman" w:hAnsi="Times New Roman"/>
          <w:color w:val="000000"/>
          <w:sz w:val="24"/>
          <w:szCs w:val="24"/>
        </w:rPr>
        <w:t xml:space="preserve">extensión de la CFH a otros archivos judiciales de posconflicto — Guatemala (CEH), Argentina (CONADEP), Rwanda (Gacaca) — para evaluar si el modelo de brecha discursiva generaliza a otros contextos de justicia transicional y construir un índice comparativo internacional de injusticia discursiva.</w:t>
      </w:r>
    </w:p>
    <w:p>
      <w:pPr>
        <w:spacing w:after="200" w:line="360" w:lineRule="auto"/>
        <w:ind w:firstLine="720"/>
        <w:jc w:val="both"/>
      </w:pPr>
      <w:r>
        <w:rPr>
          <w:rFonts w:ascii="Times New Roman" w:cs="Times New Roman" w:eastAsia="Times New Roman" w:hAnsi="Times New Roman"/>
          <w:b/>
          <w:bCs/>
          <w:color w:val="000000"/>
          <w:sz w:val="24"/>
          <w:szCs w:val="24"/>
        </w:rPr>
        <w:t xml:space="preserve">Aplicaciones de política pública: </w:t>
      </w:r>
      <w:r>
        <w:rPr>
          <w:rFonts w:ascii="Times New Roman" w:cs="Times New Roman" w:eastAsia="Times New Roman" w:hAnsi="Times New Roman"/>
          <w:color w:val="000000"/>
          <w:sz w:val="24"/>
          <w:szCs w:val="24"/>
        </w:rPr>
        <w:t xml:space="preserve">el DIS Score tiene potencial como indicador de monitoreo de la calidad epistémica de los procesos de justicia transicional. Una versión operativa de la CFH podría integrarse en los sistemas de monitoreo de la JEP para evaluar en tiempo real si los reconocimientos cumplen los estándares de verdad completa y detallada exigidos por el Acuerdo de Paz.</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6.5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pPr>
        <w:spacing w:after="200" w:line="360" w:lineRule="auto"/>
        <w:ind w:firstLine="720"/>
        <w:jc w:val="both"/>
      </w:pPr>
      <w:r>
        <w:rPr>
          <w:rFonts w:ascii="Times New Roman" w:cs="Times New Roman" w:eastAsia="Times New Roman" w:hAnsi="Times New Roman"/>
          <w:color w:val="000000"/>
          <w:sz w:val="24"/>
          <w:szCs w:val="24"/>
        </w:rPr>
        <w:t xml:space="preserve">La primera contribución es conceptual: la operacionalización de los conceptos de violencia cultural (Galtung, 1990) y justicia como reconocimiento (Fraser, 1995) en indicadores computacionalmente extraíbles. El puente entre la teoría crítica del discurso y la ciencia de datos demostró ser fructífero: los patrones que el análisis cualitativo describe en casos individuales son detectables y medibles a escala del corpus completo.</w:t>
      </w:r>
    </w:p>
    <w:p>
      <w:pPr>
        <w:spacing w:after="200" w:line="360" w:lineRule="auto"/>
        <w:ind w:firstLine="720"/>
        <w:jc w:val="both"/>
      </w:pPr>
      <w:r>
        <w:rPr>
          <w:rFonts w:ascii="Times New Roman" w:cs="Times New Roman" w:eastAsia="Times New Roman" w:hAnsi="Times New Roman"/>
          <w:color w:val="000000"/>
          <w:sz w:val="24"/>
          <w:szCs w:val="24"/>
        </w:rPr>
        <w:t xml:space="preserve">La segunda contribución es metodológica: el diseño e implementación de un pipeline de extracción de features que procesa 873 secciones judiciales en 20 minutos de CPU, con CFH-BERT v2 (F1 macro=0.58), un corpus oral de 38.1 horas transcrito con Whisper y diarizado con pyannote-audio, y un módulo de Capa 3 multimodal que extrae Action Units faciales con MediaPipe FaceLandmarker sobre segmentos de compareciente diarizados. La apertura del código en GitHub garantiza la reproducibilidad y extensibilidad del sistema.</w:t>
      </w:r>
    </w:p>
    <w:p>
      <w:pPr>
        <w:spacing w:after="200" w:line="360" w:lineRule="auto"/>
        <w:ind w:firstLine="720"/>
        <w:jc w:val="both"/>
      </w:pPr>
      <w:r>
        <w:rPr>
          <w:rFonts w:ascii="Times New Roman" w:cs="Times New Roman" w:eastAsia="Times New Roman" w:hAnsi="Times New Roman"/>
          <w:color w:val="000000"/>
          <w:sz w:val="24"/>
          <w:szCs w:val="24"/>
        </w:rPr>
        <w:t>La tercera contribución es empírica: los primeros resultados cuantitativos sobre la brecha discursiva entre la justicia ordinaria colombiana y la justicia transicional JEP, y la primera caracterización multi-canal del discurso de reconocimiento en audiencias JEP. Los indicadores semánticos y de reconocimiento muestran diferencias sustantivas entre Corpus A y B (Tabla 5.5), con la distancia al lenguaje de las víctimas (y₈) como el efecto más grande. El hallazgo más importante del análisis de senderos es que la distancia semántica al lenguaje de las víctimas (y₈) predice la ruptura epistémica positiva (y₁₀→ β=−0.679 en Corpus C, β=−0.597 tri-corpus): la adopción del vocabulario y la estructura semántica de las víctimas, más que la reducción del encubrimiento, es el mecanismo central de la transformación discursiva de la JEP. El control temporal confirma que esta brecha semántica es estructural, no un artefacto del período histórico. El análisis integrado del Corpus C con seis indicadores y el ICM tri-canal revela que la disociación entre canales discursivos —no la congruencia— es el patrón estructural dominante en las audiencias de reconocimiento, lo que sugiere que el reconocimiento en contextos de justicia transicional es un fenómeno multidimensional que no puede reducirse a un único canal comunicativo. Esta tesis constituye además la primera operacionalización computacional multimodal de la injusticia epistémica en español jurídico colombiano, extendiendo el marco de Fricker (2007) al dominio multimodal mediante el Índice de Congruencia Multimodal tri-canal (verbal + vocal + facial), e identificando la incongruencia epistémica multimodal como fenómeno no categorizado por la teoría filosófica existente.</w:t>
      </w:r>
    </w:p>
    <w:p>
      <w:pPr>
        <w:spacing w:after="160" w:line="340"/>
        <w:jc w:val="both"/>
      </w:pPr>
      <w:r>
        <w:rPr>
          <w:sz w:val="22"/>
          <w:szCs w:val="22"/>
        </w:rPr>
        <w:t xml:space="preserve"> </w:t>
      </w:r>
    </w:p>
    <w:p>
      <w:pPr>
        <w:spacing w:after="200" w:line="360" w:lineRule="auto"/>
        <w:ind w:firstLine="720"/>
        <w:jc w:val="both"/>
      </w:pPr>
      <w:r>
        <w:rPr>
          <w:sz w:val="24"/>
          <w:szCs w:val="24"/>
        </w:rPr>
        <w:t xml:space="preserve"> </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historia en el archivo del Estado. Es, también, un acto de fe en que esa distancia puede acortarse.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Barrett, L. F., Adolphs, R., Marsella, S., Martinez, A. M., y Pollak, S. D. (2019). Emotional Expressions Reconsidered: Challenges to Inferring Emotion From Human Facial Movements. Psychological Science in the Public Interest, 20(1), 1–68.
Buolamwini, J., y Gebru, T. (2018). Gender Shades: Intersectional Accuracy Disparities in Commercial Gender Classification. Proceedings of Machine Learning Research, 81, 1–15.
Crivelli, C., y Fridlund, A. J. (2018). Facial Displays Are Tools for Social Influence. Trends in Cognitive Sciences, 22(5), 388–399.
Reisenzein, R., Studtmann, M., y Horstmann, G. (2013). Coherence between Emotion and Facial Expression: Evidence from Laboratory Experiments. Emotion Review, 5(1), 16–23.
Camara, M. K., Postal, A., Maul, T. H., y Paetzold, G. H. (2024). Can lies be faked? Comparing low-stakes and high-stakes deception video datasets from a Machine Learning perspective. Expert Systems with Applications, 249, 123684. https://doi.org/10.1016/j.eswa.2024.123684
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Bhatia, V. K. (1993). Analysing Genre: Language Use in Professional Settings. Longman.</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Resoluciones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Noble, S. U. (2018). Algorithms of Oppression. New York University Press.</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Swales, J. M. (1990). Genre Analysis: English in Academic and Research Settings.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El lenguaje de los falsos positivos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2026-04-16T03:10:35.378Z</dcterms:created>
  <dcterms:modified xsi:type="dcterms:W3CDTF">2026-04-16T03:10:35.379Z</dcterms:modified>
</cp:coreProperties>
</file>

<file path=docProps/custom.xml><?xml version="1.0" encoding="utf-8"?>
<Properties xmlns="http://schemas.openxmlformats.org/officeDocument/2006/custom-properties" xmlns:vt="http://schemas.openxmlformats.org/officeDocument/2006/docPropsVTypes"/>
</file>