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36"/>
        </w:rPr>
        <w:t>El lenguaje de los falsos positivos: medición computacional multimodal de la injusticia discursiva y epistémica en el archivo judicial colombiano</w:t>
      </w:r>
    </w:p>
    <w:p/>
    <w:p/>
    <w:p>
      <w:pPr>
        <w:jc w:val="center"/>
      </w:pPr>
      <w:r>
        <w:rPr>
          <w:b/>
          <w:sz w:val="28"/>
        </w:rPr>
        <w:t>Mireya Camacho Celis</w:t>
      </w:r>
    </w:p>
    <w:p>
      <w:pPr>
        <w:jc w:val="center"/>
      </w:pPr>
      <w:r>
        <w:rPr>
          <w:b w:val="0"/>
          <w:sz w:val="24"/>
        </w:rPr>
        <w:t>Ciencia de Datos — Universidad Externado de Colombia</w:t>
      </w:r>
    </w:p>
    <w:p>
      <w:pPr>
        <w:jc w:val="center"/>
      </w:pPr>
      <w:r>
        <w:rPr>
          <w:b w:val="0"/>
          <w:sz w:val="24"/>
        </w:rPr>
        <w:t>Director: Julián Zuluaga</w:t>
      </w:r>
    </w:p>
    <w:p>
      <w:pPr>
        <w:jc w:val="center"/>
      </w:pPr>
      <w:r>
        <w:rPr>
          <w:b w:val="0"/>
          <w:sz w:val="24"/>
        </w:rPr>
        <w:t>2026</w:t>
      </w:r>
    </w:p>
    <w:p>
      <w:r>
        <w:br w:type="page"/>
      </w:r>
    </w:p>
    <w:p>
      <w:r>
        <w:rPr>
          <w:b/>
          <w:sz w:val="32"/>
        </w:rPr>
        <w:t>Contenido</w:t>
      </w:r>
    </w:p>
    <w:p/>
    <w:p>
      <w:pPr>
        <w:spacing w:after="120"/>
      </w:pPr>
      <w:r>
        <w:t>1. Introducción</w:t>
      </w:r>
    </w:p>
    <w:p>
      <w:pPr>
        <w:spacing w:after="120"/>
      </w:pPr>
      <w:r>
        <w:t>2. Estado del arte</w:t>
      </w:r>
    </w:p>
    <w:p>
      <w:pPr>
        <w:spacing w:after="120"/>
      </w:pPr>
      <w:r>
        <w:t>3. Marco teórico</w:t>
      </w:r>
    </w:p>
    <w:p>
      <w:pPr>
        <w:spacing w:after="120"/>
      </w:pPr>
      <w:r>
        <w:t>4. Metodología</w:t>
      </w:r>
    </w:p>
    <w:p>
      <w:pPr>
        <w:spacing w:after="120"/>
      </w:pPr>
      <w:r>
        <w:t>5. Resultados</w:t>
      </w:r>
    </w:p>
    <w:p>
      <w:pPr>
        <w:spacing w:after="120"/>
      </w:pPr>
      <w:r>
        <w:t>6. Discusión y conclusiones</w:t>
      </w:r>
    </w:p>
    <w:p>
      <w:pPr>
        <w:spacing w:after="120"/>
      </w:pPr>
      <w:r>
        <w:t>Apéndice A — Desarrollo matemático y experimentos</w:t>
      </w:r>
    </w:p>
    <w:p>
      <w:pPr>
        <w:spacing w:after="120"/>
      </w:pPr>
      <w:r>
        <w:t>Referencias</w:t>
      </w:r>
    </w:p>
    <w:p>
      <w:r>
        <w:br w:type="page"/>
      </w:r>
    </w:p>
    <w:p>
      <w:r>
        <w:br w:type="page"/>
      </w:r>
    </w:p>
    <w:p>
      <w:pPr>
        <w:spacing w:after="480"/>
      </w:pPr>
      <w:r>
        <w:rPr>
          <w:rFonts w:ascii="Times New Roman" w:cs="Times New Roman" w:eastAsia="Times New Roman" w:hAnsi="Times New Roman"/>
          <w:color w:val="000000"/>
          <w:sz w:val="24"/>
          <w:szCs w:val="24"/>
        </w:rPr>
        <w:t xml:space="preserve"/>
      </w:r>
    </w:p>
    <w:p>
      <w:pPr>
        <w:spacing w:after="120"/>
        <w:jc w:val="center"/>
      </w:pPr>
      <w:r>
        <w:rPr>
          <w:rFonts w:ascii="Times New Roman" w:cs="Times New Roman" w:eastAsia="Times New Roman" w:hAnsi="Times New Roman"/>
          <w:b/>
          <w:bCs/>
          <w:color w:val="000000"/>
          <w:sz w:val="22"/>
          <w:szCs w:val="22"/>
        </w:rPr>
        <w:t xml:space="preserve">UNIVERSIDAD EXTERNADO DE COLOMBIA</w:t>
      </w:r>
    </w:p>
    <w:p>
      <w:pPr>
        <w:spacing w:after="120"/>
        <w:jc w:val="center"/>
      </w:pPr>
      <w:r>
        <w:rPr>
          <w:rFonts w:ascii="Times New Roman" w:cs="Times New Roman" w:eastAsia="Times New Roman" w:hAnsi="Times New Roman"/>
          <w:color w:val="000000"/>
          <w:sz w:val="22"/>
          <w:szCs w:val="22"/>
        </w:rPr>
        <w:t xml:space="preserve">FACULTAD DE CIENCIAS EXACTAS Y NATURALES</w:t>
      </w:r>
    </w:p>
    <w:p>
      <w:pPr>
        <w:spacing w:after="600"/>
        <w:jc w:val="center"/>
      </w:pPr>
      <w:r>
        <w:rPr>
          <w:rFonts w:ascii="Times New Roman" w:cs="Times New Roman" w:eastAsia="Times New Roman" w:hAnsi="Times New Roman"/>
          <w:color w:val="000000"/>
          <w:sz w:val="22"/>
          <w:szCs w:val="22"/>
        </w:rPr>
        <w:t xml:space="preserve">PROGRAMA DE CIENCIA DE DATOS</w:t>
      </w:r>
    </w:p>
    <w:p>
      <w:pPr>
        <w:spacing w:after="720"/>
      </w:pPr>
      <w:r>
        <w:rPr>
          <w:rFonts w:ascii="Times New Roman" w:cs="Times New Roman" w:eastAsia="Times New Roman" w:hAnsi="Times New Roman"/>
          <w:color w:val="000000"/>
          <w:sz w:val="24"/>
          <w:szCs w:val="24"/>
        </w:rPr>
        <w:t xml:space="preserve"/>
      </w:r>
    </w:p>
    <w:p>
      <w:pPr>
        <w:spacing w:after="120"/>
        <w:jc w:val="center"/>
      </w:pPr>
      <w:r>
        <w:rPr>
          <w:rFonts w:ascii="Times New Roman" w:cs="Times New Roman" w:eastAsia="Times New Roman" w:hAnsi="Times New Roman"/>
          <w:b/>
          <w:bCs/>
          <w:color w:val="0D2137"/>
          <w:sz w:val="32"/>
          <w:szCs w:val="32"/>
        </w:rPr>
        <w:t xml:space="preserve">Hermenéutica Forense Computacional (CFH):</w:t>
      </w:r>
    </w:p>
    <w:p>
      <w:pPr>
        <w:spacing w:after="120"/>
        <w:jc w:val="center"/>
      </w:pPr>
      <w:r>
        <w:rPr>
          <w:rFonts w:ascii="Times New Roman" w:cs="Times New Roman" w:eastAsia="Times New Roman" w:hAnsi="Times New Roman"/>
          <w:b/>
          <w:bCs/>
          <w:color w:val="0D2137"/>
          <w:sz w:val="28"/>
          <w:szCs w:val="28"/>
        </w:rPr>
        <w:t xml:space="preserve">medición computacional multimodal de la</w:t>
      </w:r>
    </w:p>
    <w:p>
      <w:pPr>
        <w:spacing w:after="600"/>
        <w:jc w:val="center"/>
      </w:pPr>
      <w:r>
        <w:rPr>
          <w:rFonts w:ascii="Times New Roman" w:cs="Times New Roman" w:eastAsia="Times New Roman" w:hAnsi="Times New Roman"/>
          <w:b/>
          <w:bCs/>
          <w:color w:val="0D2137"/>
          <w:sz w:val="26"/>
          <w:szCs w:val="26"/>
        </w:rPr>
        <w:t xml:space="preserve">injusticia discursiva y epistémica en el archivo judicial colombiano</w:t>
      </w:r>
    </w:p>
    <w:p>
      <w:pPr>
        <w:spacing w:after="720"/>
      </w:pPr>
      <w:r>
        <w:rPr>
          <w:rFonts w:ascii="Times New Roman" w:cs="Times New Roman" w:eastAsia="Times New Roman" w:hAnsi="Times New Roman"/>
          <w:color w:val="000000"/>
          <w:sz w:val="24"/>
          <w:szCs w:val="24"/>
        </w:rPr>
        <w:t xml:space="preserve"/>
      </w:r>
    </w:p>
    <w:p>
      <w:pPr>
        <w:spacing w:after="80"/>
        <w:jc w:val="center"/>
      </w:pPr>
      <w:r>
        <w:rPr>
          <w:rFonts w:ascii="Times New Roman" w:cs="Times New Roman" w:eastAsia="Times New Roman" w:hAnsi="Times New Roman"/>
          <w:i/>
          <w:iCs/>
          <w:color w:val="000000"/>
          <w:sz w:val="22"/>
          <w:szCs w:val="22"/>
        </w:rPr>
        <w:t xml:space="preserve">Trabajo de grado para optar al título de</w:t>
      </w:r>
    </w:p>
    <w:p>
      <w:pPr>
        <w:spacing w:after="400"/>
        <w:jc w:val="center"/>
      </w:pPr>
      <w:r>
        <w:rPr>
          <w:rFonts w:ascii="Times New Roman" w:cs="Times New Roman" w:eastAsia="Times New Roman" w:hAnsi="Times New Roman"/>
          <w:b/>
          <w:bCs/>
          <w:color w:val="000000"/>
          <w:sz w:val="22"/>
          <w:szCs w:val="22"/>
        </w:rPr>
        <w:t xml:space="preserve">Profesional en Ciencia de Datos</w:t>
      </w:r>
    </w:p>
    <w:p>
      <w:pPr>
        <w:spacing w:after="480"/>
      </w:pPr>
      <w:r>
        <w:rPr>
          <w:rFonts w:ascii="Times New Roman" w:cs="Times New Roman" w:eastAsia="Times New Roman" w:hAnsi="Times New Roman"/>
          <w:color w:val="000000"/>
          <w:sz w:val="24"/>
          <w:szCs w:val="24"/>
        </w:rPr>
        <w:t xml:space="preserve"/>
      </w:r>
    </w:p>
    <w:p>
      <w:pPr>
        <w:spacing w:after="80"/>
        <w:jc w:val="center"/>
      </w:pPr>
      <w:r>
        <w:rPr>
          <w:rFonts w:ascii="Times New Roman" w:cs="Times New Roman" w:eastAsia="Times New Roman" w:hAnsi="Times New Roman"/>
          <w:color w:val="000000"/>
          <w:sz w:val="22"/>
          <w:szCs w:val="22"/>
        </w:rPr>
        <w:t xml:space="preserve">Autora:</w:t>
      </w:r>
    </w:p>
    <w:p>
      <w:pPr>
        <w:spacing w:after="400"/>
        <w:jc w:val="center"/>
      </w:pPr>
      <w:r>
        <w:rPr>
          <w:rFonts w:ascii="Times New Roman" w:cs="Times New Roman" w:eastAsia="Times New Roman" w:hAnsi="Times New Roman"/>
          <w:b/>
          <w:bCs/>
          <w:color w:val="000000"/>
          <w:sz w:val="24"/>
          <w:szCs w:val="24"/>
        </w:rPr>
        <w:t xml:space="preserve">Mireya Camacho Celis</w:t>
      </w:r>
    </w:p>
    <w:p>
      <w:pPr>
        <w:spacing w:after="720"/>
      </w:pPr>
      <w:r>
        <w:rPr>
          <w:rFonts w:ascii="Times New Roman" w:cs="Times New Roman" w:eastAsia="Times New Roman" w:hAnsi="Times New Roman"/>
          <w:color w:val="000000"/>
          <w:sz w:val="24"/>
          <w:szCs w:val="24"/>
        </w:rPr>
        <w:t xml:space="preserve"/>
      </w:r>
    </w:p>
    <w:p>
      <w:pPr>
        <w:spacing w:after="0"/>
        <w:jc w:val="center"/>
      </w:pPr>
      <w:r>
        <w:rPr>
          <w:rFonts w:ascii="Times New Roman" w:cs="Times New Roman" w:eastAsia="Times New Roman" w:hAnsi="Times New Roman"/>
          <w:color w:val="000000"/>
          <w:sz w:val="22"/>
          <w:szCs w:val="22"/>
        </w:rPr>
        <w:t xml:space="preserve">Bogotá D.C., 2026</w:t>
      </w:r>
    </w:p>
    <w:p>
      <w:r>
        <w:br w:type="page"/>
      </w:r>
    </w:p>
    <w:p>
      <w:pPr>
        <w:spacing w:after="400" w:before="240"/>
        <w:jc w:val="center"/>
      </w:pPr>
      <w:r>
        <w:rPr>
          <w:rFonts w:ascii="Times New Roman" w:cs="Times New Roman" w:eastAsia="Times New Roman" w:hAnsi="Times New Roman"/>
          <w:b/>
          <w:bCs/>
          <w:color w:val="000000"/>
          <w:sz w:val="26"/>
          <w:szCs w:val="26"/>
        </w:rPr>
        <w:t xml:space="preserve">TABLA DE CONTENIDO</w:t>
      </w:r>
    </w:p>
    <w:p>
      <w:pPr>
        <w:tabs>
          <w:tab w:val="right" w:pos="8640" w:leader="dot"/>
        </w:tabs>
        <w:spacing w:after="80"/>
      </w:pPr>
      <w:r>
        <w:rPr>
          <w:rFonts w:ascii="Times New Roman" w:cs="Times New Roman" w:eastAsia="Times New Roman" w:hAnsi="Times New Roman"/>
          <w:color w:val="000000"/>
          <w:sz w:val="22"/>
          <w:szCs w:val="22"/>
        </w:rPr>
        <w:t xml:space="preserve">Introducción</w:t>
      </w:r>
      <w:r>
        <w:rPr>
          <w:rFonts w:ascii="Times New Roman" w:cs="Times New Roman" w:eastAsia="Times New Roman" w:hAnsi="Times New Roman"/>
          <w:sz w:val="22"/>
          <w:szCs w:val="22"/>
        </w:rPr>
        <w:fldSimple w:instr="PAGEREF Introducción \h"/>
      </w:r>
    </w:p>
    <w:p>
      <w:pPr>
        <w:tabs>
          <w:tab w:val="right" w:pos="8640" w:leader="dot"/>
        </w:tabs>
        <w:spacing w:after="80"/>
      </w:pPr>
      <w:r>
        <w:rPr>
          <w:rFonts w:ascii="Times New Roman" w:cs="Times New Roman" w:eastAsia="Times New Roman" w:hAnsi="Times New Roman"/>
          <w:color w:val="000000"/>
          <w:sz w:val="22"/>
          <w:szCs w:val="22"/>
        </w:rPr>
        <w:t xml:space="preserve">    1.1 Planteamiento del problema</w:t>
      </w:r>
      <w:r>
        <w:rPr>
          <w:rFonts w:ascii="Times New Roman" w:cs="Times New Roman" w:eastAsia="Times New Roman" w:hAnsi="Times New Roman"/>
          <w:sz w:val="22"/>
          <w:szCs w:val="22"/>
        </w:rPr>
        <w:fldSimple w:instr="PAGEREF 1.1_Planteamiento_del_problema \h"/>
      </w:r>
    </w:p>
    <w:p>
      <w:pPr>
        <w:tabs>
          <w:tab w:val="right" w:pos="8640" w:leader="dot"/>
        </w:tabs>
        <w:spacing w:after="80"/>
      </w:pPr>
      <w:r>
        <w:rPr>
          <w:rFonts w:ascii="Times New Roman" w:cs="Times New Roman" w:eastAsia="Times New Roman" w:hAnsi="Times New Roman"/>
          <w:color w:val="000000"/>
          <w:sz w:val="22"/>
          <w:szCs w:val="22"/>
        </w:rPr>
        <w:t xml:space="preserve">    1.2 Pregunta de investigación</w:t>
      </w:r>
      <w:r>
        <w:rPr>
          <w:rFonts w:ascii="Times New Roman" w:cs="Times New Roman" w:eastAsia="Times New Roman" w:hAnsi="Times New Roman"/>
          <w:sz w:val="22"/>
          <w:szCs w:val="22"/>
        </w:rPr>
        <w:fldSimple w:instr="PAGEREF 1.2_Pregunta_de_investigación \h"/>
      </w:r>
    </w:p>
    <w:p>
      <w:pPr>
        <w:tabs>
          <w:tab w:val="right" w:pos="8640" w:leader="dot"/>
        </w:tabs>
        <w:spacing w:after="80"/>
      </w:pPr>
      <w:r>
        <w:rPr>
          <w:rFonts w:ascii="Times New Roman" w:cs="Times New Roman" w:eastAsia="Times New Roman" w:hAnsi="Times New Roman"/>
          <w:color w:val="000000"/>
          <w:sz w:val="22"/>
          <w:szCs w:val="22"/>
        </w:rPr>
        <w:t xml:space="preserve">    1.3 Objetivos</w:t>
      </w:r>
      <w:r>
        <w:rPr>
          <w:rFonts w:ascii="Times New Roman" w:cs="Times New Roman" w:eastAsia="Times New Roman" w:hAnsi="Times New Roman"/>
          <w:sz w:val="22"/>
          <w:szCs w:val="22"/>
        </w:rPr>
        <w:fldSimple w:instr="PAGEREF 1.3_Objetivos \h"/>
      </w:r>
    </w:p>
    <w:p>
      <w:pPr>
        <w:tabs>
          <w:tab w:val="right" w:pos="8640" w:leader="dot"/>
        </w:tabs>
        <w:spacing w:after="80"/>
      </w:pPr>
      <w:r>
        <w:rPr>
          <w:rFonts w:ascii="Times New Roman" w:cs="Times New Roman" w:eastAsia="Times New Roman" w:hAnsi="Times New Roman"/>
          <w:color w:val="000000"/>
          <w:sz w:val="22"/>
          <w:szCs w:val="22"/>
        </w:rPr>
        <w:t xml:space="preserve">    1.4 Justificación</w:t>
      </w:r>
      <w:r>
        <w:rPr>
          <w:rFonts w:ascii="Times New Roman" w:cs="Times New Roman" w:eastAsia="Times New Roman" w:hAnsi="Times New Roman"/>
          <w:sz w:val="22"/>
          <w:szCs w:val="22"/>
        </w:rPr>
        <w:fldSimple w:instr="PAGEREF 1.4_Justificación \h"/>
      </w:r>
    </w:p>
    <w:p>
      <w:pPr>
        <w:tabs>
          <w:tab w:val="right" w:pos="8640" w:leader="dot"/>
        </w:tabs>
        <w:spacing w:after="80"/>
      </w:pPr>
      <w:r>
        <w:rPr>
          <w:rFonts w:ascii="Times New Roman" w:cs="Times New Roman" w:eastAsia="Times New Roman" w:hAnsi="Times New Roman"/>
          <w:color w:val="000000"/>
          <w:sz w:val="22"/>
          <w:szCs w:val="22"/>
        </w:rPr>
        <w:t xml:space="preserve">    1.5 Estructura del documento</w:t>
      </w:r>
      <w:r>
        <w:rPr>
          <w:rFonts w:ascii="Times New Roman" w:cs="Times New Roman" w:eastAsia="Times New Roman" w:hAnsi="Times New Roman"/>
          <w:sz w:val="22"/>
          <w:szCs w:val="22"/>
        </w:rPr>
        <w:fldSimple w:instr="PAGEREF 1.5_Estructura_del_documento \h"/>
      </w:r>
    </w:p>
    <w:p>
      <w:pPr>
        <w:tabs>
          <w:tab w:val="right" w:pos="8640" w:leader="dot"/>
        </w:tabs>
        <w:spacing w:after="80"/>
      </w:pPr>
      <w:r>
        <w:rPr>
          <w:rFonts w:ascii="Times New Roman" w:cs="Times New Roman" w:eastAsia="Times New Roman" w:hAnsi="Times New Roman"/>
          <w:color w:val="000000"/>
          <w:sz w:val="22"/>
          <w:szCs w:val="22"/>
        </w:rPr>
        <w:t xml:space="preserve">2. Estado del arte</w:t>
      </w:r>
      <w:r>
        <w:rPr>
          <w:rFonts w:ascii="Times New Roman" w:cs="Times New Roman" w:eastAsia="Times New Roman" w:hAnsi="Times New Roman"/>
          <w:sz w:val="22"/>
          <w:szCs w:val="22"/>
        </w:rPr>
        <w:fldSimple w:instr="PAGEREF 2._Estado_del_arte \h"/>
      </w:r>
    </w:p>
    <w:p>
      <w:pPr>
        <w:tabs>
          <w:tab w:val="right" w:pos="8640" w:leader="dot"/>
        </w:tabs>
        <w:spacing w:after="80"/>
      </w:pPr>
      <w:r>
        <w:rPr>
          <w:rFonts w:ascii="Times New Roman" w:cs="Times New Roman" w:eastAsia="Times New Roman" w:hAnsi="Times New Roman"/>
          <w:color w:val="000000"/>
          <w:sz w:val="22"/>
          <w:szCs w:val="22"/>
        </w:rPr>
        <w:t xml:space="preserve">    2.1 Violencia cultural y lenguaje institucional</w:t>
      </w:r>
      <w:r>
        <w:rPr>
          <w:rFonts w:ascii="Times New Roman" w:cs="Times New Roman" w:eastAsia="Times New Roman" w:hAnsi="Times New Roman"/>
          <w:sz w:val="22"/>
          <w:szCs w:val="22"/>
        </w:rPr>
        <w:fldSimple w:instr="PAGEREF 2.1_Violencia_cultural_y_lenguaje_institucional \h"/>
      </w:r>
    </w:p>
    <w:p>
      <w:pPr>
        <w:tabs>
          <w:tab w:val="right" w:pos="8640" w:leader="dot"/>
        </w:tabs>
        <w:spacing w:after="80"/>
      </w:pPr>
      <w:r>
        <w:rPr>
          <w:rFonts w:ascii="Times New Roman" w:cs="Times New Roman" w:eastAsia="Times New Roman" w:hAnsi="Times New Roman"/>
          <w:color w:val="000000"/>
          <w:sz w:val="22"/>
          <w:szCs w:val="22"/>
        </w:rPr>
        <w:t xml:space="preserve">    2.2 NLP aplicado a textos judiciales</w:t>
      </w:r>
      <w:r>
        <w:rPr>
          <w:rFonts w:ascii="Times New Roman" w:cs="Times New Roman" w:eastAsia="Times New Roman" w:hAnsi="Times New Roman"/>
          <w:sz w:val="22"/>
          <w:szCs w:val="22"/>
        </w:rPr>
        <w:fldSimple w:instr="PAGEREF 2.2_NLP_aplicado_a_textos_judiciales \h"/>
      </w:r>
    </w:p>
    <w:p>
      <w:pPr>
        <w:tabs>
          <w:tab w:val="right" w:pos="8640" w:leader="dot"/>
        </w:tabs>
        <w:spacing w:after="80"/>
      </w:pPr>
      <w:r>
        <w:rPr>
          <w:rFonts w:ascii="Times New Roman" w:cs="Times New Roman" w:eastAsia="Times New Roman" w:hAnsi="Times New Roman"/>
          <w:color w:val="000000"/>
          <w:sz w:val="22"/>
          <w:szCs w:val="22"/>
        </w:rPr>
        <w:t xml:space="preserve">    2.3 Justicia transicional y análisis del discurso</w:t>
      </w:r>
      <w:r>
        <w:rPr>
          <w:rFonts w:ascii="Times New Roman" w:cs="Times New Roman" w:eastAsia="Times New Roman" w:hAnsi="Times New Roman"/>
          <w:sz w:val="22"/>
          <w:szCs w:val="22"/>
        </w:rPr>
        <w:fldSimple w:instr="PAGEREF 2.3_Justicia_transicional_y_análisis_del_discurso \h"/>
      </w:r>
    </w:p>
    <w:p>
      <w:pPr>
        <w:tabs>
          <w:tab w:val="right" w:pos="8640" w:leader="dot"/>
        </w:tabs>
        <w:spacing w:after="80"/>
      </w:pPr>
      <w:r>
        <w:rPr>
          <w:rFonts w:ascii="Times New Roman" w:cs="Times New Roman" w:eastAsia="Times New Roman" w:hAnsi="Times New Roman"/>
          <w:color w:val="000000"/>
          <w:sz w:val="22"/>
          <w:szCs w:val="22"/>
        </w:rPr>
        <w:t xml:space="preserve">    2.4 Modelos de ecuaciones estructurales en ciencias sociales computacionales</w:t>
      </w:r>
      <w:r>
        <w:rPr>
          <w:rFonts w:ascii="Times New Roman" w:cs="Times New Roman" w:eastAsia="Times New Roman" w:hAnsi="Times New Roman"/>
          <w:sz w:val="22"/>
          <w:szCs w:val="22"/>
        </w:rPr>
        <w:fldSimple w:instr="PAGEREF 2.4_Modelos_de_ecuaciones_estructurales_en_ciencias_sociales_computacionales \h"/>
      </w:r>
    </w:p>
    <w:p>
      <w:pPr>
        <w:tabs>
          <w:tab w:val="right" w:pos="8640" w:leader="dot"/>
        </w:tabs>
        <w:spacing w:after="80"/>
      </w:pPr>
      <w:r>
        <w:rPr>
          <w:rFonts w:ascii="Times New Roman" w:cs="Times New Roman" w:eastAsia="Times New Roman" w:hAnsi="Times New Roman"/>
          <w:color w:val="000000"/>
          <w:sz w:val="22"/>
          <w:szCs w:val="22"/>
        </w:rPr>
        <w:t xml:space="preserve">3. Marco teórico</w:t>
      </w:r>
      <w:r>
        <w:rPr>
          <w:rFonts w:ascii="Times New Roman" w:cs="Times New Roman" w:eastAsia="Times New Roman" w:hAnsi="Times New Roman"/>
          <w:sz w:val="22"/>
          <w:szCs w:val="22"/>
        </w:rPr>
        <w:fldSimple w:instr="PAGEREF 3._Marco_teórico \h"/>
      </w:r>
    </w:p>
    <w:p>
      <w:pPr>
        <w:tabs>
          <w:tab w:val="right" w:pos="8640" w:leader="dot"/>
        </w:tabs>
        <w:spacing w:after="80"/>
      </w:pPr>
      <w:r>
        <w:rPr>
          <w:rFonts w:ascii="Times New Roman" w:cs="Times New Roman" w:eastAsia="Times New Roman" w:hAnsi="Times New Roman"/>
          <w:color w:val="000000"/>
          <w:sz w:val="22"/>
          <w:szCs w:val="22"/>
        </w:rPr>
        <w:t xml:space="preserve">    3.1 Violencia cultural y lenguaje institucional: Galtung</w:t>
      </w:r>
      <w:r>
        <w:rPr>
          <w:rFonts w:ascii="Times New Roman" w:cs="Times New Roman" w:eastAsia="Times New Roman" w:hAnsi="Times New Roman"/>
          <w:sz w:val="22"/>
          <w:szCs w:val="22"/>
        </w:rPr>
        <w:fldSimple w:instr="PAGEREF 3.1_Injusticia_discursiva:_el_marco_Fraser-Galtung \h"/>
      </w:r>
    </w:p>
    <w:p>
      <w:pPr>
        <w:tabs>
          <w:tab w:val="right" w:pos="8640" w:leader="dot"/>
        </w:tabs>
        <w:spacing w:after="80"/>
      </w:pPr>
      <w:r>
        <w:rPr>
          <w:rFonts w:ascii="Times New Roman" w:cs="Times New Roman" w:eastAsia="Times New Roman" w:hAnsi="Times New Roman"/>
          <w:color w:val="000000"/>
          <w:sz w:val="22"/>
          <w:szCs w:val="22"/>
        </w:rPr>
        <w:t xml:space="preserve">    3.2 Justicia como reconocimiento: Fraser y Habermas</w:t>
      </w:r>
      <w:r>
        <w:rPr>
          <w:rFonts w:ascii="Times New Roman" w:cs="Times New Roman" w:eastAsia="Times New Roman" w:hAnsi="Times New Roman"/>
          <w:sz w:val="22"/>
          <w:szCs w:val="22"/>
        </w:rPr>
        <w:fldSimple w:instr="PAGEREF 3.2_La_Hermenéutica_Forense_Computacional_(CFH) \h"/>
      </w:r>
    </w:p>
    <w:p>
      <w:pPr>
        <w:tabs>
          <w:tab w:val="right" w:pos="8640" w:leader="dot"/>
        </w:tabs>
        <w:spacing w:after="80"/>
      </w:pPr>
      <w:r>
        <w:rPr>
          <w:rFonts w:ascii="Times New Roman" w:cs="Times New Roman" w:eastAsia="Times New Roman" w:hAnsi="Times New Roman"/>
          <w:color w:val="000000"/>
          <w:sz w:val="22"/>
          <w:szCs w:val="22"/>
        </w:rPr>
        <w:t xml:space="preserve">    3.3 Injusticia epistémica: Fricker y extensión multimodal</w:t>
      </w:r>
      <w:r>
        <w:rPr>
          <w:rFonts w:ascii="Times New Roman" w:cs="Times New Roman" w:eastAsia="Times New Roman" w:hAnsi="Times New Roman"/>
          <w:sz w:val="22"/>
          <w:szCs w:val="22"/>
        </w:rPr>
        <w:fldSimple w:instr="PAGEREF 3.3_El_Discursive_Injustice_Score_(DIS_Score) \h"/>
      </w:r>
    </w:p>
    <w:p>
      <w:pPr>
        <w:tabs>
          <w:tab w:val="right" w:pos="8640" w:leader="dot"/>
        </w:tabs>
        <w:spacing w:after="80"/>
      </w:pPr>
      <w:r>
        <w:rPr>
          <w:rFonts w:ascii="Times New Roman" w:cs="Times New Roman" w:eastAsia="Times New Roman" w:hAnsi="Times New Roman"/>
          <w:color w:val="000000"/>
          <w:sz w:val="22"/>
          <w:szCs w:val="22"/>
        </w:rPr>
        <w:t xml:space="preserve">4. Metodología</w:t>
      </w:r>
      <w:r>
        <w:rPr>
          <w:rFonts w:ascii="Times New Roman" w:cs="Times New Roman" w:eastAsia="Times New Roman" w:hAnsi="Times New Roman"/>
          <w:sz w:val="22"/>
          <w:szCs w:val="22"/>
        </w:rPr>
        <w:fldSimple w:instr="PAGEREF 4._Metodología \h"/>
      </w:r>
    </w:p>
    <w:p>
      <w:pPr>
        <w:tabs>
          <w:tab w:val="right" w:pos="8640" w:leader="dot"/>
        </w:tabs>
        <w:spacing w:after="80"/>
      </w:pPr>
      <w:r>
        <w:rPr>
          <w:rFonts w:ascii="Times New Roman" w:cs="Times New Roman" w:eastAsia="Times New Roman" w:hAnsi="Times New Roman"/>
          <w:color w:val="000000"/>
          <w:sz w:val="22"/>
          <w:szCs w:val="22"/>
        </w:rPr>
        <w:t xml:space="preserve">    4.1 Diseño de la investigación</w:t>
      </w:r>
      <w:r>
        <w:rPr>
          <w:rFonts w:ascii="Times New Roman" w:cs="Times New Roman" w:eastAsia="Times New Roman" w:hAnsi="Times New Roman"/>
          <w:sz w:val="22"/>
          <w:szCs w:val="22"/>
        </w:rPr>
        <w:fldSimple w:instr="PAGEREF 4.1_Diseño_de_la_investigación \h"/>
      </w:r>
    </w:p>
    <w:p>
      <w:pPr>
        <w:tabs>
          <w:tab w:val="right" w:pos="8640" w:leader="dot"/>
        </w:tabs>
        <w:spacing w:after="80"/>
      </w:pPr>
      <w:r>
        <w:rPr>
          <w:rFonts w:ascii="Times New Roman" w:cs="Times New Roman" w:eastAsia="Times New Roman" w:hAnsi="Times New Roman"/>
          <w:color w:val="000000"/>
          <w:sz w:val="22"/>
          <w:szCs w:val="22"/>
        </w:rPr>
        <w:t xml:space="preserve">    4.2 Descripción del corpus</w:t>
      </w:r>
      <w:r>
        <w:rPr>
          <w:rFonts w:ascii="Times New Roman" w:cs="Times New Roman" w:eastAsia="Times New Roman" w:hAnsi="Times New Roman"/>
          <w:sz w:val="22"/>
          <w:szCs w:val="22"/>
        </w:rPr>
        <w:fldSimple w:instr="PAGEREF 4.2_Descripción_del_corpus \h"/>
      </w:r>
    </w:p>
    <w:p>
      <w:pPr>
        <w:tabs>
          <w:tab w:val="right" w:pos="8640" w:leader="dot"/>
        </w:tabs>
        <w:spacing w:after="80"/>
      </w:pPr>
      <w:r>
        <w:rPr>
          <w:rFonts w:ascii="Times New Roman" w:cs="Times New Roman" w:eastAsia="Times New Roman" w:hAnsi="Times New Roman"/>
          <w:color w:val="000000"/>
          <w:sz w:val="22"/>
          <w:szCs w:val="22"/>
        </w:rPr>
        <w:t xml:space="preserve">    4.3 Pipeline de ingesta y procesamiento</w:t>
      </w:r>
      <w:r>
        <w:rPr>
          <w:rFonts w:ascii="Times New Roman" w:cs="Times New Roman" w:eastAsia="Times New Roman" w:hAnsi="Times New Roman"/>
          <w:sz w:val="22"/>
          <w:szCs w:val="22"/>
        </w:rPr>
        <w:fldSimple w:instr="PAGEREF 4.3_Pipeline_de_ingesta_y_procesamiento \h"/>
      </w:r>
    </w:p>
    <w:p>
      <w:pPr>
        <w:tabs>
          <w:tab w:val="right" w:pos="8640" w:leader="dot"/>
        </w:tabs>
        <w:spacing w:after="80"/>
      </w:pPr>
      <w:r>
        <w:rPr>
          <w:rFonts w:ascii="Times New Roman" w:cs="Times New Roman" w:eastAsia="Times New Roman" w:hAnsi="Times New Roman"/>
          <w:color w:val="000000"/>
          <w:sz w:val="22"/>
          <w:szCs w:val="22"/>
        </w:rPr>
        <w:t xml:space="preserve">    4.4 Taxonomía de anotación CFH</w:t>
      </w:r>
      <w:r>
        <w:rPr>
          <w:rFonts w:ascii="Times New Roman" w:cs="Times New Roman" w:eastAsia="Times New Roman" w:hAnsi="Times New Roman"/>
          <w:sz w:val="22"/>
          <w:szCs w:val="22"/>
        </w:rPr>
        <w:fldSimple w:instr="PAGEREF 4.4_Taxonomía_de_anotación_CFH \h"/>
      </w:r>
    </w:p>
    <w:p>
      <w:pPr>
        <w:tabs>
          <w:tab w:val="right" w:pos="8640" w:leader="dot"/>
        </w:tabs>
        <w:spacing w:after="80"/>
      </w:pPr>
      <w:r>
        <w:rPr>
          <w:rFonts w:ascii="Times New Roman" w:cs="Times New Roman" w:eastAsia="Times New Roman" w:hAnsi="Times New Roman"/>
          <w:color w:val="000000"/>
          <w:sz w:val="22"/>
          <w:szCs w:val="22"/>
        </w:rPr>
        <w:t xml:space="preserve">    4.5 Modelo de análisis de senderos y estadística</w:t>
      </w:r>
      <w:r>
        <w:rPr>
          <w:rFonts w:ascii="Times New Roman" w:cs="Times New Roman" w:eastAsia="Times New Roman" w:hAnsi="Times New Roman"/>
          <w:sz w:val="22"/>
          <w:szCs w:val="22"/>
        </w:rPr>
        <w:fldSimple w:instr="PAGEREF 4.5_Modelo_de_medición_SEM \h"/>
      </w:r>
    </w:p>
    <w:p>
      <w:pPr>
        <w:tabs>
          <w:tab w:val="right" w:pos="8640" w:leader="dot"/>
        </w:tabs>
        <w:spacing w:after="80"/>
      </w:pPr>
      <w:r>
        <w:rPr>
          <w:rFonts w:ascii="Times New Roman" w:cs="Times New Roman" w:eastAsia="Times New Roman" w:hAnsi="Times New Roman"/>
          <w:color w:val="000000"/>
          <w:sz w:val="22"/>
          <w:szCs w:val="22"/>
        </w:rPr>
        <w:t xml:space="preserve">    4.6 Guía de muestreo multimodal y protocolo de validación</w:t>
      </w:r>
      <w:r>
        <w:rPr>
          <w:rFonts w:ascii="Times New Roman" w:cs="Times New Roman" w:eastAsia="Times New Roman" w:hAnsi="Times New Roman"/>
          <w:sz w:val="22"/>
          <w:szCs w:val="22"/>
        </w:rPr>
        <w:fldSimple w:instr="PAGEREF 4.6_Protocolo_de_validación \h"/>
      </w:r>
    </w:p>
    <w:p>
      <w:pPr>
        <w:tabs>
          <w:tab w:val="right" w:pos="8640" w:leader="dot"/>
        </w:tabs>
        <w:spacing w:after="80"/>
      </w:pPr>
      <w:r>
        <w:rPr>
          <w:rFonts w:ascii="Times New Roman" w:cs="Times New Roman" w:eastAsia="Times New Roman" w:hAnsi="Times New Roman"/>
          <w:color w:val="000000"/>
          <w:sz w:val="22"/>
          <w:szCs w:val="22"/>
        </w:rPr>
        <w:t xml:space="preserve">5. Resultados</w:t>
      </w:r>
      <w:r>
        <w:rPr>
          <w:rFonts w:ascii="Times New Roman" w:cs="Times New Roman" w:eastAsia="Times New Roman" w:hAnsi="Times New Roman"/>
          <w:sz w:val="22"/>
          <w:szCs w:val="22"/>
        </w:rPr>
        <w:fldSimple w:instr="PAGEREF 5._Resultados \h"/>
      </w:r>
    </w:p>
    <w:p>
      <w:pPr>
        <w:tabs>
          <w:tab w:val="right" w:pos="8640" w:leader="dot"/>
        </w:tabs>
        <w:spacing w:after="80"/>
      </w:pPr>
      <w:r>
        <w:rPr>
          <w:rFonts w:ascii="Times New Roman" w:cs="Times New Roman" w:eastAsia="Times New Roman" w:hAnsi="Times New Roman"/>
          <w:color w:val="000000"/>
          <w:sz w:val="22"/>
          <w:szCs w:val="22"/>
        </w:rPr>
        <w:t xml:space="preserve">6. Discusión y conclusiones</w:t>
      </w:r>
      <w:r>
        <w:rPr>
          <w:rFonts w:ascii="Times New Roman" w:cs="Times New Roman" w:eastAsia="Times New Roman" w:hAnsi="Times New Roman"/>
          <w:sz w:val="22"/>
          <w:szCs w:val="22"/>
        </w:rPr>
        <w:fldSimple w:instr="PAGEREF 6._Discusión_y_conclusiones \h"/>
      </w:r>
    </w:p>
    <w:p>
      <w:pPr>
        <w:tabs>
          <w:tab w:val="right" w:pos="8640" w:leader="dot"/>
        </w:tabs>
        <w:spacing w:after="80"/>
      </w:pPr>
      <w:r>
        <w:rPr>
          <w:rFonts w:ascii="Times New Roman" w:cs="Times New Roman" w:eastAsia="Times New Roman" w:hAnsi="Times New Roman"/>
          <w:color w:val="000000"/>
          <w:sz w:val="22"/>
          <w:szCs w:val="22"/>
        </w:rPr>
        <w:t xml:space="preserve">Referencias</w:t>
      </w:r>
      <w:r>
        <w:rPr>
          <w:rFonts w:ascii="Times New Roman" w:cs="Times New Roman" w:eastAsia="Times New Roman" w:hAnsi="Times New Roman"/>
          <w:sz w:val="22"/>
          <w:szCs w:val="22"/>
        </w:rPr>
        <w:fldSimple w:instr="PAGEREF Referencias \h"/>
      </w:r>
    </w:p>
    <w:p>
      <w:pPr>
        <w:tabs>
          <w:tab w:val="right" w:pos="8640" w:leader="dot"/>
        </w:tabs>
        <w:spacing w:after="80"/>
      </w:pPr>
      <w:r>
        <w:rPr>
          <w:rFonts w:ascii="Times New Roman" w:cs="Times New Roman" w:eastAsia="Times New Roman" w:hAnsi="Times New Roman"/>
          <w:color w:val="000000"/>
          <w:sz w:val="22"/>
          <w:szCs w:val="22"/>
        </w:rPr>
        <w:t xml:space="preserve">Apéndices</w:t>
      </w:r>
      <w:r>
        <w:rPr>
          <w:rFonts w:ascii="Times New Roman" w:cs="Times New Roman" w:eastAsia="Times New Roman" w:hAnsi="Times New Roman"/>
          <w:sz w:val="22"/>
          <w:szCs w:val="22"/>
        </w:rPr>
        <w:fldSimple w:instr="PAGEREF Apéndices \h"/>
      </w:r>
    </w:p>
    <w:p>
      <w:r>
        <w:br w:type="page"/>
      </w:r>
    </w:p>
    <w:p>
      <w:pPr>
        <w:pStyle w:val="Heading1"/>
        <w:spacing w:after="240" w:before="480"/>
        <w:outlineLvl w:val="0"/>
      </w:pPr>
      <w:r>
        <w:rPr>
          <w:rFonts w:ascii="Times New Roman" w:cs="Times New Roman" w:eastAsia="Times New Roman" w:hAnsi="Times New Roman"/>
          <w:b/>
          <w:bCs/>
          <w:color w:val="0D2137"/>
          <w:sz w:val="28"/>
          <w:szCs w:val="28"/>
        </w:rPr>
        <w:t xml:space="preserve">1. Introducción</w:t>
      </w:r>
    </w:p>
    <w:p>
      <w:pPr>
        <w:spacing w:after="200" w:line="360" w:lineRule="auto"/>
        <w:ind w:firstLine="720"/>
        <w:jc w:val="both"/>
      </w:pPr>
      <w:r>
        <w:rPr>
          <w:rFonts w:ascii="Times New Roman" w:cs="Times New Roman" w:eastAsia="Times New Roman" w:hAnsi="Times New Roman"/>
          <w:color w:val="000000"/>
          <w:sz w:val="24"/>
          <w:szCs w:val="24"/>
        </w:rPr>
        <w:t xml:space="preserve">El veintidós de junio de dos mil ocho, Fair Leonardo Porras Bernal salió de su casa en el barrio Cazucá de Soacha en busca de trabajo. Tenía dieciséis años. Semanas después, su familia recibió la noticia de que había muerto en un enfrentamiento armado en Ocaña, Norte de Santander, a más de quinientos kilómetros de distancia. El Ejército Nacional lo presentó como un guerrillero dado de baja en combate. Era carpintero.</w:t>
      </w:r>
    </w:p>
    <w:p>
      <w:pPr>
        <w:spacing w:after="200" w:line="360" w:lineRule="auto"/>
        <w:ind w:firstLine="720"/>
        <w:jc w:val="both"/>
      </w:pPr>
      <w:r>
        <w:rPr>
          <w:rFonts w:ascii="Times New Roman" w:cs="Times New Roman" w:eastAsia="Times New Roman" w:hAnsi="Times New Roman"/>
          <w:color w:val="000000"/>
          <w:sz w:val="24"/>
          <w:szCs w:val="24"/>
        </w:rPr>
        <w:t xml:space="preserve">La historia de Fair Leonardo no es una excepción. Entre 2002 y 2008, agentes del Estado colombiano asesinaron a civiles y los presentaron fraudulentamente como guerrilleros caídos en combate, en lo que se conoce hoy como falsos positivos o, en la terminología de la Jurisdicción Especial para la Paz (JEP), Macrocaso 003: «Asesinatos y desapariciones forzadas presentadas como bajas en combate por agentes del Estado». La Sala de Reconocimiento de Verdad de la JEP ha identificado al menos 6.402 víctimas de esta práctica para el período 2002-2008 (JEP, 2021); otras estimaciones elevan esa cifra a más de diez mil casos a lo largo de todo el conflicto.</w:t>
      </w:r>
    </w:p>
    <w:p>
      <w:pPr>
        <w:spacing w:after="200" w:line="360" w:lineRule="auto"/>
        <w:ind w:firstLine="720"/>
        <w:jc w:val="both"/>
      </w:pPr>
      <w:r>
        <w:rPr>
          <w:rFonts w:ascii="Times New Roman" w:cs="Times New Roman" w:eastAsia="Times New Roman" w:hAnsi="Times New Roman"/>
          <w:color w:val="000000"/>
          <w:sz w:val="24"/>
          <w:szCs w:val="24"/>
        </w:rPr>
        <w:t xml:space="preserve">Este crimen no operó solamente en el campo de batalla. Operó también, y de forma sistemática, en el lenguaje. Cada ejecución extrajudicial requería una doble operación: la muerte física del civil y su transformación discursiva en baja en combate legítima. Esta transformación se producía en formularios de reporte militar, en actas de levantamiento de cadáveres, en comunicados de prensa, en expedientes judiciales y, finalmente, en sentencias de la Corte Suprema de Justicia y el Consejo de Estado. El archivo judicial colombiano es, en este sentido, un archivo de la violencia discursiva institucional: un corpus de documentos en los que el lenguaje del Estado fue instrumentalizado para encubrir, legitimar o minimizar el asesinato sistemático de civiles.</w:t>
      </w:r>
    </w:p>
    <w:p>
      <w:pPr>
        <w:spacing w:after="200" w:line="360" w:lineRule="auto"/>
        <w:ind w:firstLine="720"/>
        <w:jc w:val="both"/>
      </w:pPr>
      <w:r>
        <w:rPr>
          <w:rFonts w:ascii="Times New Roman" w:cs="Times New Roman" w:eastAsia="Times New Roman" w:hAnsi="Times New Roman"/>
          <w:color w:val="000000"/>
          <w:sz w:val="24"/>
          <w:szCs w:val="24"/>
        </w:rPr>
        <w:t xml:space="preserve">La pregunta que anima esta investigación es: ¿puede medirse esa violencia discursiva? ¿Existe una manera sistemática y reproducible de cuantificar la distancia entre el lenguaje con que el Estado colombiano describió las muertes de Fair Leonardo y de miles como él, y el lenguaje con que la justicia —ordinaria y transicional— terminó por reconocer lo que realmente ocurrió?</w:t>
      </w:r>
    </w:p>
    <w:p>
      <w:pPr>
        <w:spacing w:after="200" w:line="360" w:lineRule="auto"/>
        <w:ind w:firstLine="720"/>
        <w:jc w:val="both"/>
      </w:pPr>
      <w:r>
        <w:rPr>
          <w:rFonts w:ascii="Times New Roman" w:cs="Times New Roman" w:eastAsia="Times New Roman" w:hAnsi="Times New Roman"/>
          <w:color w:val="000000"/>
          <w:sz w:val="24"/>
          <w:szCs w:val="24"/>
        </w:rPr>
        <w:t xml:space="preserve">Esta tesis propone que sí. Para ello desarrolla un marco teórico-metodológico original, la Hermenéutica Forense Computacional (CFH), que combina procesamiento de lenguaje natural (NLP), modelamiento de ecuaciones estructurales (SEM) y análisis crítico del discurso para construir un índice cuantitativo —el Discursive Injustice Score o DIS Score— capaz de medir el grado de violencia discursiva en documentos judiciales colombianos relacionados con el fenómeno de los falsos positivos.</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1.1 Planteamiento del problema</w:t>
      </w:r>
    </w:p>
    <w:p>
      <w:pPr>
        <w:spacing w:after="200" w:line="360" w:lineRule="auto"/>
        <w:ind w:firstLine="720"/>
        <w:jc w:val="both"/>
      </w:pPr>
      <w:r>
        <w:rPr>
          <w:rFonts w:ascii="Times New Roman" w:cs="Times New Roman" w:eastAsia="Times New Roman" w:hAnsi="Times New Roman"/>
          <w:color w:val="000000"/>
          <w:sz w:val="24"/>
          <w:szCs w:val="24"/>
        </w:rPr>
        <w:t xml:space="preserve">El archivo judicial del conflicto armado colombiano presenta una paradoja lingüística que ha sido documentada por investigadores, organizaciones de víctimas y la propia JEP: los mismos hechos —el asesinato de civiles— fueron descritos con vocabularios radicalmente distintos dependiendo del sistema de justicia, del momento histórico y del poder institucional que producía el texto. La distancia entre «guerrillero abatido en combate» y «civil asesinado en ejecución extrajudicial» no es solo semántica: es la distancia entre la impunidad y la justicia, entre la revictimización y el reconocimiento.</w:t>
      </w:r>
    </w:p>
    <w:p>
      <w:pPr>
        <w:spacing w:after="200" w:line="360" w:lineRule="auto"/>
        <w:ind w:firstLine="720"/>
        <w:jc w:val="both"/>
      </w:pPr>
      <w:r>
        <w:rPr>
          <w:rFonts w:ascii="Times New Roman" w:cs="Times New Roman" w:eastAsia="Times New Roman" w:hAnsi="Times New Roman"/>
          <w:color w:val="000000"/>
          <w:sz w:val="24"/>
          <w:szCs w:val="24"/>
        </w:rPr>
        <w:t xml:space="preserve">Esta distancia lingüística ha sido analizada cualitativamente desde el análisis crítico del discurso (van Dijk, 2008; Wodak y Meyer, 2009) y desde la teoría de la violencia cultural (Galtung, 1990). Sin embargo, la investigación cuantitativa sobre el discurso judicial colombiano en materia de falsos positivos es escasa. No existen, hasta donde alcanza la revisión de literatura de esta tesis, herramientas computacionales diseñadas específicamente para medir injusticia discursiva y epistémica en el archivo judicial colombiano. Esta ausencia tiene consecuencias prácticas: sin medición sistemática, resulta difícil comparar el tratamiento discursivo de casos similares, identificar patrones de violencia lingüística a escala, o evaluar el impacto de la justicia transicional en la transformación del lenguaje institucional.</w:t>
      </w:r>
    </w:p>
    <w:p>
      <w:pPr>
        <w:spacing w:after="200" w:line="360" w:lineRule="auto"/>
        <w:ind w:firstLine="720"/>
        <w:jc w:val="both"/>
      </w:pPr>
      <w:r>
        <w:rPr>
          <w:rFonts w:ascii="Times New Roman" w:cs="Times New Roman" w:eastAsia="Times New Roman" w:hAnsi="Times New Roman"/>
          <w:color w:val="000000"/>
          <w:sz w:val="24"/>
          <w:szCs w:val="24"/>
        </w:rPr>
        <w:t xml:space="preserve">El problema se articula en tres dimensiones que esta investigación aborda de manera integrada.</w:t>
      </w:r>
    </w:p>
    <w:p>
      <w:pPr>
        <w:spacing w:after="200" w:line="360" w:lineRule="auto"/>
        <w:ind w:firstLine="720"/>
        <w:jc w:val="both"/>
      </w:pPr>
      <w:r>
        <w:rPr>
          <w:rFonts w:ascii="Times New Roman" w:cs="Times New Roman" w:eastAsia="Times New Roman" w:hAnsi="Times New Roman"/>
          <w:b/>
          <w:bCs/>
          <w:color w:val="000000"/>
          <w:sz w:val="24"/>
          <w:szCs w:val="24"/>
        </w:rPr>
        <w:t xml:space="preserve">La primera es la dimensión lexical. </w:t>
      </w:r>
      <w:r>
        <w:rPr>
          <w:rFonts w:ascii="Times New Roman" w:cs="Times New Roman" w:eastAsia="Times New Roman" w:hAnsi="Times New Roman"/>
          <w:color w:val="000000"/>
          <w:sz w:val="24"/>
          <w:szCs w:val="24"/>
        </w:rPr>
        <w:t xml:space="preserve">El lenguaje militar colombiano desarrolló un sistema de eufemismos —«baja en combate», «resultado operacional», «dado de baja», «neutralizado»— que sistemáticamente reemplazaba la denominación directa del homicidio de civiles por denominaciones que lo enmarcaban como acción militar legítima. Esta práctica eufemística no fue accidental: fue el mecanismo discursivo que permitió reportar los homicidios como méritos operacionales y acumularlos como indicadores de efectividad institucional (Cepeda y Rojas, 2008; Human Rights Watch, 2015). La dimensión lexical del problema consiste en identificar, clasificar y cuantificar estos eufemismos a escala del corpus completo.</w:t>
      </w:r>
    </w:p>
    <w:p>
      <w:pPr>
        <w:spacing w:after="200" w:line="360" w:lineRule="auto"/>
        <w:ind w:firstLine="720"/>
        <w:jc w:val="both"/>
      </w:pPr>
      <w:r>
        <w:rPr>
          <w:rFonts w:ascii="Times New Roman" w:cs="Times New Roman" w:eastAsia="Times New Roman" w:hAnsi="Times New Roman"/>
          <w:b/>
          <w:bCs/>
          <w:color w:val="000000"/>
          <w:sz w:val="24"/>
          <w:szCs w:val="24"/>
        </w:rPr>
        <w:t xml:space="preserve">La segunda es la dimensión gramatical. </w:t>
      </w:r>
      <w:r>
        <w:rPr>
          <w:rFonts w:ascii="Times New Roman" w:cs="Times New Roman" w:eastAsia="Times New Roman" w:hAnsi="Times New Roman"/>
          <w:color w:val="000000"/>
          <w:sz w:val="24"/>
          <w:szCs w:val="24"/>
        </w:rPr>
        <w:t xml:space="preserve">Más allá del vocabulario, el lenguaje judicial sobre los falsos positivos presenta patrones gramaticales sistemáticos de supresión de agentividad: construcciones pasivas sin complemento agente («fue reportado como baja»), nominalizaciones que eliminan el sujeto responsable («se presentaron los resultados operacionales»), e impersonalizaciones que diluyen la responsabilidad individual en sujetos colectivos («la unidad procedió conforme al protocolo»). Estos mecanismos gramaticales operan como tecnologías de invisibilización del perpetrador y, en consecuencia, de la responsabilidad estatal.</w:t>
      </w:r>
    </w:p>
    <w:p>
      <w:pPr>
        <w:spacing w:after="200" w:line="360" w:lineRule="auto"/>
        <w:ind w:firstLine="720"/>
        <w:jc w:val="both"/>
      </w:pPr>
      <w:r>
        <w:rPr>
          <w:rFonts w:ascii="Times New Roman" w:cs="Times New Roman" w:eastAsia="Times New Roman" w:hAnsi="Times New Roman"/>
          <w:b/>
          <w:bCs/>
          <w:color w:val="000000"/>
          <w:sz w:val="24"/>
          <w:szCs w:val="24"/>
        </w:rPr>
        <w:t>La tercera es la dimensión epistémica. El proceso de justicia transicional producido por la JEP en el Macrocaso 003 ha generado nuevas formas de lenguaje — reconocimientos, reparaciones simbólicas, solicitudes de perdón — que contrastan con el archivo ordinario. Sin embargo, como argumenta Fricker (2007), la injusticia epistémica puede persistir incluso cuando el canal verbal ha sido formalmente corregido: la hermeneutical gap entre el lenguaje institucional y el léxico que las víctimas construyeron para hacer inteligible su experiencia puede mantenerse aunque la gramática de la violencia discursiva haya sido aparentemente eliminada. Esta brecha — que el framework CFH operacionaliza como Índice de Injusticia Epistémica (IEI) — es la dimensión más profunda del problema y la que los métodos cualitativos solos no pueden medir a escala.</w:t>
      </w:r>
      <w:r>
        <w:rPr>
          <w:rFonts w:ascii="Times New Roman" w:cs="Times New Roman" w:eastAsia="Times New Roman" w:hAnsi="Times New Roman"/>
          <w:color w:val="000000"/>
          <w:sz w:val="24"/>
          <w:szCs w:val="24"/>
        </w:rPr>
        <w:t xml:space="preserve">El proceso de justicia transicional producido por la JEP en el Macrocaso 003 ha generado un conjunto de documentos —autos de determinación de hechos y conductas, resoluciones de conclusiones, actas de audiencias públicas de reconocimiento— en los que el lenguaje institucional sufre una transformación profunda. Los comparecientes reconocen que «dieron de baja» a personas que eran «civiles inocentes»; la Sala califica los hechos como «crímenes de guerra» y «crímenes de lesa humanidad»; las víctimas recuperan sus nombres. Esta transición lingüística del marco bélico-institucional al marco de los derechos humanos es lo que esta tesis denomina ruptura epistémica, y su medición constituye el núcleo del DIS Score.</w:t>
      </w:r>
    </w:p>
    <w:p>
      <w:pPr>
        <w:spacing w:after="200" w:line="360" w:lineRule="auto"/>
        <w:ind w:firstLine="720"/>
        <w:jc w:val="both"/>
      </w:pPr>
      <w:r>
        <w:rPr>
          <w:rFonts w:ascii="Times New Roman" w:cs="Times New Roman" w:eastAsia="Times New Roman" w:hAnsi="Times New Roman"/>
          <w:color w:val="000000"/>
          <w:sz w:val="24"/>
          <w:szCs w:val="24"/>
        </w:rPr>
        <w:t xml:space="preserve">El problema de investigación puede formularse, entonces, como la ausencia de un método cuantitativo, reproducible y computacionalmente escalable para medir estas tres dimensiones de la violencia discursiva en el archivo judicial colombiano, y para capturar la dirección y magnitud de la transformación lingüística producida por la justicia transicional.</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1.2 Pregunta de investigación</w:t>
      </w:r>
    </w:p>
    <w:p>
      <w:pPr>
        <w:spacing w:after="200" w:line="360" w:lineRule="auto"/>
        <w:ind w:firstLine="720"/>
        <w:jc w:val="both"/>
      </w:pPr>
      <w:r>
        <w:rPr>
          <w:rFonts w:ascii="Times New Roman" w:cs="Times New Roman" w:eastAsia="Times New Roman" w:hAnsi="Times New Roman"/>
          <w:color w:val="000000"/>
          <w:sz w:val="24"/>
          <w:szCs w:val="24"/>
        </w:rPr>
        <w:t xml:space="preserve">¿En qué medida el diseño de un framework multimodal de reparación algorítmica permite medir y caracterizar la ruptura epistémica entre el discurso de la justicia ordinaria y la JEP sobre las ejecuciones extrajudiciales de civiles denominadas "falsos positivos", cuantificada mediante un índice de injusticia discursiva replicable en otros contextos de justicia transicional?</w:t>
      </w:r>
    </w:p>
    <w:p>
      <w:pPr>
        <w:spacing w:after="200" w:line="360" w:lineRule="auto"/>
        <w:ind w:firstLine="720"/>
        <w:jc w:val="both"/>
      </w:pPr>
      <w:r>
        <w:rPr>
          <w:rFonts w:ascii="Times New Roman" w:cs="Times New Roman" w:eastAsia="Times New Roman" w:hAnsi="Times New Roman"/>
          <w:color w:val="000000"/>
          <w:sz w:val="24"/>
          <w:szCs w:val="24"/>
        </w:rPr>
        <w:t xml:space="preserve">Esta pregunta principal se descompone en cuatro preguntas subsidiarias:</w:t>
      </w:r>
    </w:p>
    <w:p>
      <w:pPr>
        <w:pStyle w:val="ListParagraph"/>
        <w:numPr>
          <w:ilvl w:val="0"/>
          <w:numId w:val="10"/>
        </w:numPr>
        <w:spacing w:after="120"/>
        <w:jc w:val="both"/>
      </w:pPr>
      <w:r>
        <w:rPr>
          <w:rFonts w:ascii="Times New Roman" w:cs="Times New Roman" w:eastAsia="Times New Roman" w:hAnsi="Times New Roman"/>
          <w:color w:val="000000"/>
          <w:sz w:val="24"/>
          <w:szCs w:val="24"/>
        </w:rPr>
        <w:t xml:space="preserve">¿Qué indicadores léxicos, semánticos y multimodales permiten operacionalizar la injusticia discursiva en sentencias y audiencias judiciales sobre ejecuciones extrajudiciales?</w:t>
      </w:r>
    </w:p>
    <w:p>
      <w:pPr>
        <w:pStyle w:val="ListParagraph"/>
        <w:numPr>
          <w:ilvl w:val="0"/>
          <w:numId w:val="10"/>
        </w:numPr>
        <w:spacing w:after="120"/>
        <w:jc w:val="both"/>
      </w:pPr>
      <w:r>
        <w:rPr>
          <w:rFonts w:ascii="Times New Roman" w:cs="Times New Roman" w:eastAsia="Times New Roman" w:hAnsi="Times New Roman"/>
          <w:color w:val="000000"/>
          <w:sz w:val="24"/>
          <w:szCs w:val="24"/>
        </w:rPr>
        <w:t>¿Existe una ruptura epistémica medible y sustancial entre el discurso de la justicia ordinaria y la JEP, medida mediante los indicadores de injusticia discursiva y epistémica en sus tres capas —léxica, semántica y multimodal?</w:t>
      </w:r>
    </w:p>
    <w:p>
      <w:pPr>
        <w:pStyle w:val="ListParagraph"/>
        <w:numPr>
          <w:ilvl w:val="0"/>
          <w:numId w:val="10"/>
        </w:numPr>
        <w:spacing w:after="120"/>
        <w:jc w:val="both"/>
      </w:pPr>
      <w:r>
        <w:rPr>
          <w:rFonts w:ascii="Times New Roman" w:cs="Times New Roman" w:eastAsia="Times New Roman" w:hAnsi="Times New Roman"/>
          <w:color w:val="000000"/>
          <w:sz w:val="24"/>
          <w:szCs w:val="24"/>
        </w:rPr>
        <w:t xml:space="preserve">¿En qué medida el reconocimiento de responsabilidad en las audiencias JEP presenta alta o baja congruencia multimodal entre texto, voz y expresión facial, medida mediante el Índice de Congruencia Multimodal (ICM)?</w:t>
      </w:r>
    </w:p>
    <w:p>
      <w:pPr>
        <w:pStyle w:val="ListParagraph"/>
        <w:numPr>
          <w:ilvl w:val="0"/>
          <w:numId w:val="10"/>
        </w:numPr>
        <w:spacing w:after="200"/>
        <w:jc w:val="both"/>
      </w:pPr>
      <w:r>
        <w:rPr>
          <w:rFonts w:ascii="Times New Roman" w:cs="Times New Roman" w:eastAsia="Times New Roman" w:hAnsi="Times New Roman"/>
          <w:color w:val="000000"/>
          <w:sz w:val="24"/>
          <w:szCs w:val="24"/>
        </w:rPr>
        <w:t xml:space="preserve">¿Puede el framework CFH replicarse en otros archivos judiciales de justicia transicional más allá del caso colombiano?
- ¿En qué medida existe disociación entre la injusticia discursiva (DIS) y la injusticia epistémica (IEI) en el corpus, y qué revela esa disociación sobre los límites del reconocimiento formal en el proceso JEP?</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1.3 Objetivos</w:t>
      </w:r>
    </w:p>
    <w:p>
      <w:pPr>
        <w:pStyle w:val="Heading3"/>
        <w:spacing w:after="140" w:before="280"/>
        <w:outlineLvl w:val="2"/>
      </w:pPr>
      <w:r>
        <w:rPr>
          <w:rFonts w:ascii="Times New Roman" w:cs="Times New Roman" w:eastAsia="Times New Roman" w:hAnsi="Times New Roman"/>
          <w:b/>
          <w:bCs/>
          <w:i/>
          <w:iCs/>
          <w:color w:val="000000"/>
          <w:sz w:val="24"/>
          <w:szCs w:val="24"/>
        </w:rPr>
        <w:t xml:space="preserve">Objetivo general</w:t>
      </w:r>
    </w:p>
    <w:p>
      <w:pPr>
        <w:spacing w:after="200" w:line="360" w:lineRule="auto"/>
        <w:ind w:firstLine="720"/>
        <w:jc w:val="both"/>
      </w:pPr>
      <w:r>
        <w:rPr>
          <w:rFonts w:ascii="Times New Roman" w:cs="Times New Roman" w:eastAsia="Times New Roman" w:hAnsi="Times New Roman"/>
          <w:color w:val="000000"/>
          <w:sz w:val="24"/>
          <w:szCs w:val="24"/>
        </w:rPr>
        <w:t xml:space="preserve">Diseñar y validar la Hermenéutica Forense Computacional (CFH) como framework multimodal de reparación algorítmica para medir la ruptura epistémica entre la justicia ordinaria y la JEP en el Macrocaso 003, mediante un índice de injusticia discursiva que integra análisis léxico, semántico y multimodal, replicable en otros contextos de justicia transicional.</w:t>
      </w:r>
    </w:p>
    <w:p>
      <w:pPr>
        <w:pStyle w:val="Heading3"/>
        <w:spacing w:after="140" w:before="280"/>
        <w:outlineLvl w:val="2"/>
      </w:pPr>
      <w:r>
        <w:rPr>
          <w:rFonts w:ascii="Times New Roman" w:cs="Times New Roman" w:eastAsia="Times New Roman" w:hAnsi="Times New Roman"/>
          <w:b/>
          <w:bCs/>
          <w:i/>
          <w:iCs/>
          <w:color w:val="000000"/>
          <w:sz w:val="24"/>
          <w:szCs w:val="24"/>
        </w:rPr>
        <w:t xml:space="preserve">Objetivos específicos</w:t>
      </w:r>
    </w:p>
    <w:p>
      <w:pPr>
        <w:pStyle w:val="ListParagraph"/>
        <w:numPr>
          <w:ilvl w:val="0"/>
          <w:numId w:val="10"/>
        </w:numPr>
        <w:spacing w:after="120"/>
        <w:jc w:val="both"/>
      </w:pPr>
      <w:r>
        <w:rPr>
          <w:rFonts w:ascii="Times New Roman" w:cs="Times New Roman" w:eastAsia="Times New Roman" w:hAnsi="Times New Roman"/>
          <w:color w:val="000000"/>
          <w:sz w:val="24"/>
          <w:szCs w:val="24"/>
        </w:rPr>
        <w:t xml:space="preserve">Construir y procesar un corpus multiinstitucional y multimodal compuesto por sentencias del Consejo de Estado y la Corte Suprema (Corpus A), autos y resoluciones del Macrocaso 003 de la JEP (Corpus B ≥200 secciones) y audiencias públicas de reconocimiento transcritas y diarizadas (Corpus C — 5 audiencias, 45.9 horas).</w:t>
      </w:r>
    </w:p>
    <w:p>
      <w:pPr>
        <w:pStyle w:val="ListParagraph"/>
        <w:numPr>
          <w:ilvl w:val="0"/>
          <w:numId w:val="10"/>
        </w:numPr>
        <w:spacing w:after="120"/>
        <w:jc w:val="both"/>
      </w:pPr>
      <w:r>
        <w:rPr>
          <w:rFonts w:ascii="Times New Roman" w:cs="Times New Roman" w:eastAsia="Times New Roman" w:hAnsi="Times New Roman"/>
          <w:color w:val="000000"/>
          <w:sz w:val="24"/>
          <w:szCs w:val="24"/>
        </w:rPr>
        <w:t>Implementar la Capa 1 léxica: diseñar y validar la Taxonomía CFH (EBI, SA, NV, REP) con una concordancia inter-anotador sustancial (κ global de 0.722 sobre dos rondas), y calcular los indicadores de persona gramatical, hedging, léxico emocional y surprisal sobre el corpus completo.</w:t>
      </w:r>
    </w:p>
    <w:p>
      <w:pPr>
        <w:pStyle w:val="ListParagraph"/>
        <w:numPr>
          <w:ilvl w:val="0"/>
          <w:numId w:val="10"/>
        </w:numPr>
        <w:spacing w:after="120"/>
        <w:jc w:val="both"/>
      </w:pPr>
      <w:r>
        <w:rPr>
          <w:rFonts w:ascii="Times New Roman" w:cs="Times New Roman" w:eastAsia="Times New Roman" w:hAnsi="Times New Roman"/>
          <w:color w:val="000000"/>
          <w:sz w:val="24"/>
          <w:szCs w:val="24"/>
        </w:rPr>
        <w:t xml:space="preserve">Implementar la Capa 2 semántica: calcular distancias al polo MAFAPO/CIDH con ConfliBERT-Spanish, visualizar el espacio de embeddings mediante UMAP/t-SNE, y medir la convergencia temporal del discurso JEP hacia la voz de las víctimas.</w:t>
      </w:r>
    </w:p>
    <w:p>
      <w:pPr>
        <w:pStyle w:val="ListParagraph"/>
        <w:numPr>
          <w:ilvl w:val="0"/>
          <w:numId w:val="10"/>
        </w:numPr>
        <w:spacing w:after="120"/>
        <w:jc w:val="both"/>
      </w:pPr>
      <w:r>
        <w:rPr>
          <w:rFonts w:ascii="Times New Roman" w:cs="Times New Roman" w:eastAsia="Times New Roman" w:hAnsi="Times New Roman"/>
          <w:color w:val="000000"/>
          <w:sz w:val="24"/>
          <w:szCs w:val="24"/>
        </w:rPr>
        <w:t xml:space="preserve">Implementar la Capa 3 multimodal sobre el Corpus C: extraer features prosódicas con OpenSMILE eGeMAPS (88 parámetros) y features faciales con OpenFace 3.0 (AUs, head pose, gaze direction) por segmento de hablante diarizado.</w:t>
      </w:r>
    </w:p>
    <w:p>
      <w:pPr>
        <w:pStyle w:val="ListParagraph"/>
        <w:numPr>
          <w:ilvl w:val="0"/>
          <w:numId w:val="10"/>
        </w:numPr>
        <w:spacing w:after="120"/>
        <w:jc w:val="both"/>
      </w:pPr>
      <w:r>
        <w:rPr>
          <w:rFonts w:ascii="Times New Roman" w:cs="Times New Roman" w:eastAsia="Times New Roman" w:hAnsi="Times New Roman"/>
          <w:color w:val="000000"/>
          <w:sz w:val="24"/>
          <w:szCs w:val="24"/>
        </w:rPr>
        <w:t xml:space="preserve">Calcular el Índice de Congruencia Multimodal (ICM) para medir el grado de congruencia multimodal entre los canales verbal, vocal y facial de los comparecientes, operacionalizando el concepto de reconocimiento de Nancy Fraser (1995) y Zehr (2002).</w:t>
      </w:r>
    </w:p>
    <w:p>
      <w:pPr>
        <w:pStyle w:val="ListParagraph"/>
        <w:numPr>
          <w:ilvl w:val="0"/>
          <w:numId w:val="10"/>
        </w:numPr>
        <w:spacing w:after="200"/>
        <w:jc w:val="both"/>
      </w:pPr>
      <w:r>
        <w:rPr>
          <w:rFonts w:ascii="Times New Roman" w:cs="Times New Roman" w:eastAsia="Times New Roman" w:hAnsi="Times New Roman"/>
          <w:color w:val="000000"/>
          <w:sz w:val="24"/>
          <w:szCs w:val="24"/>
        </w:rPr>
        <w:t>Estimar el modelo de análisis de senderos con las variables de las tres capas y explorar la relación estructural central: que la ruptura epistémica entre justicia ordinaria y JEP es medible y sustancial, y no atribuible a diferencias meramente temporales o de género textual.</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1.4 Justificación</w:t>
      </w:r>
    </w:p>
    <w:p>
      <w:pPr>
        <w:spacing w:after="200" w:line="360" w:lineRule="auto"/>
        <w:ind w:firstLine="720"/>
        <w:jc w:val="both"/>
      </w:pPr>
      <w:r>
        <w:rPr>
          <w:rFonts w:ascii="Times New Roman" w:cs="Times New Roman" w:eastAsia="Times New Roman" w:hAnsi="Times New Roman"/>
          <w:color w:val="000000"/>
          <w:sz w:val="24"/>
          <w:szCs w:val="24"/>
        </w:rPr>
        <w:t xml:space="preserve">Esta investigación se justifica desde tres perspectivas complementarias: la relevancia política y social del problema, la pertinencia científica del enfoque, y la contribución metodológica al campo de la ciencia de datos aplicada a la justicia transicional.</w:t>
      </w:r>
    </w:p>
    <w:p>
      <w:pPr>
        <w:spacing w:after="200" w:line="360" w:lineRule="auto"/>
        <w:ind w:firstLine="720"/>
        <w:jc w:val="both"/>
      </w:pPr>
      <w:r>
        <w:rPr>
          <w:rFonts w:ascii="Times New Roman" w:cs="Times New Roman" w:eastAsia="Times New Roman" w:hAnsi="Times New Roman"/>
          <w:b/>
          <w:bCs/>
          <w:color w:val="000000"/>
          <w:sz w:val="24"/>
          <w:szCs w:val="24"/>
        </w:rPr>
        <w:t xml:space="preserve">Desde el punto de vista político y social, </w:t>
      </w:r>
      <w:r>
        <w:rPr>
          <w:rFonts w:ascii="Times New Roman" w:cs="Times New Roman" w:eastAsia="Times New Roman" w:hAnsi="Times New Roman"/>
          <w:color w:val="000000"/>
          <w:sz w:val="24"/>
          <w:szCs w:val="24"/>
        </w:rPr>
        <w:t xml:space="preserve">Colombia atraviesa un momento histórico singular: por primera vez, un tribunal de justicia transicional —la JEP— está produciendo verdad judicial sobre las ejecuciones extrajudiciales cometidas por el Estado. Las resoluciones de conclusiones del Macrocaso 003 no son solo documentos jurídicos; son actos de reconocimiento de la humanidad de las víctimas. Comprender cómo el lenguaje de estos documentos —y de las audiencias orales donde los comparecientes hablan directamente— se diferencia del lenguaje de la justicia ordinaria que los precedió tiene implicaciones directas para evaluar el impacto real de la justicia transicional como mecanismo de transformación cultural y simbólica.</w:t>
      </w:r>
    </w:p>
    <w:p>
      <w:pPr>
        <w:spacing w:after="200" w:line="360" w:lineRule="auto"/>
        <w:ind w:firstLine="720"/>
        <w:jc w:val="both"/>
      </w:pPr>
      <w:r>
        <w:rPr>
          <w:rFonts w:ascii="Times New Roman" w:cs="Times New Roman" w:eastAsia="Times New Roman" w:hAnsi="Times New Roman"/>
          <w:b/>
          <w:bCs/>
          <w:color w:val="000000"/>
          <w:sz w:val="24"/>
          <w:szCs w:val="24"/>
        </w:rPr>
        <w:t xml:space="preserve">Desde el punto de vista científico, </w:t>
      </w:r>
      <w:r>
        <w:rPr>
          <w:rFonts w:ascii="Times New Roman" w:cs="Times New Roman" w:eastAsia="Times New Roman" w:hAnsi="Times New Roman"/>
          <w:color w:val="000000"/>
          <w:sz w:val="24"/>
          <w:szCs w:val="24"/>
        </w:rPr>
        <w:t xml:space="preserve">esta investigación contribuye a cuatro campos en expansión. Primero, al NLP aplicado a textos jurídicos en español, con el primer análisis computacional multimodal del Macrocaso 003 y la primera operacionalización cuantitativa del Índice de Injusticia Epistémica (IEI) en español jurídico — complementando el trabajo de Gutiérrez-Osorio et al. (2025), el único precedente directo en la literatura. Segundo, a las ciencias sociales computacionales, al operacionalizar el concepto habermasiano de colonización sistémica del lenguaje y el concepto fraseriano de reconocimiento mediante indicadores cuantitativos. Tercero, al análisis del conflicto con NLP, utilizando ConfliBERT-Spanish en un dominio aún inexplorado. Cuarto, a la justicia transicional computacional, al proponer un framework replicable en otros archivos —Guatemala (CEH), Argentina (CONADEP), Rwanda (Gacaca).</w:t>
      </w:r>
    </w:p>
    <w:p>
      <w:pPr>
        <w:pStyle w:val="Normal"/>
        <w:jc w:val="both"/>
      </w:pPr>
      <w:r>
        <w:rPr>
          <w:sz w:val="22"/>
        </w:rPr>
        <w:t xml:space="preserve">Desde el punto de vista de la teoría social y la filosofía, el framework CFH produce la primera operacionalización computacional de la injusticia epistémica frickeriana (Fricker, 2007) en un archivo de justicia transicional. La teoría de Fricker identifica la hermeneutical injustice como el tipo de injusticia que opera cuando los recursos colectivos de interpretación son insuficientes para articular una experiencia significativa — exactamente el fenómeno que el archivo de los falsos positivos presenta. El framework CFH hace ese concepto refutable y medible, transformándolo de categoría descriptiva en criterio de verificación empírica.</w:t>
      </w:r>
    </w:p>
    <w:p>
      <w:pPr>
        <w:spacing w:after="200" w:line="360" w:lineRule="auto"/>
        <w:ind w:firstLine="720"/>
        <w:jc w:val="both"/>
      </w:pPr>
      <w:r>
        <w:rPr>
          <w:rFonts w:ascii="Times New Roman" w:cs="Times New Roman" w:eastAsia="Times New Roman" w:hAnsi="Times New Roman"/>
          <w:b/>
          <w:bCs/>
          <w:color w:val="000000"/>
          <w:sz w:val="24"/>
          <w:szCs w:val="24"/>
        </w:rPr>
        <w:t xml:space="preserve">Desde el punto de vista metodológico, </w:t>
      </w:r>
      <w:r>
        <w:rPr>
          <w:rFonts w:ascii="Times New Roman" w:cs="Times New Roman" w:eastAsia="Times New Roman" w:hAnsi="Times New Roman"/>
          <w:color w:val="000000"/>
          <w:sz w:val="24"/>
          <w:szCs w:val="24"/>
        </w:rPr>
        <w:t xml:space="preserve">la CFH ofrece una contribución original al integrar cuatro tradiciones que raramente se combinan: el análisis crítico del discurso (marco conceptual), el NLP (extracción léxica y semántica), el análisis multimodal de señales acústicas y faciales (autenticidad del reconocimiento oral), y el modelado estadístico integrado (índice de injusticia discursiva). Esta integración permite superar la dicotomía entre análisis cualitativo profundo —no escalable— y análisis cuantitativo superficial —sin anclaje semántico. La CFH aspira a ser un método que combine rigor interpretativo y escalabilidad computacional, replicable por otros investigadores en contextos de justicia transicional global.</w:t>
      </w:r>
    </w:p>
    <w:p>
      <w:pPr>
        <w:spacing w:after="200" w:line="360" w:lineRule="auto"/>
        <w:ind w:firstLine="720"/>
        <w:jc w:val="both"/>
      </w:pPr>
      <w:r>
        <w:rPr>
          <w:rFonts w:ascii="Times New Roman" w:cs="Times New Roman" w:eastAsia="Times New Roman" w:hAnsi="Times New Roman"/>
          <w:color w:val="000000"/>
          <w:sz w:val="24"/>
          <w:szCs w:val="24"/>
        </w:rPr>
        <w:t xml:space="preserve">Finalmente, desde el punto de vista de las víctimas del Macrocaso 003, esta investigación parte de una convicción ética: que dar nombre a los mecanismos lingüísticos de la impunidad es un acto de memoria. Cada vez que un documento judicial describió a Fair Leonardo Porras Bernal como «guerrillero neutralizado», se cometió una segunda violencia. Medir esa violencia no la deshace, pero la hace visible. La reparación algorítmica no reemplaza la reparación real — la documenta y la audita.</w:t>
      </w:r>
    </w:p>
    <w:p>
      <w:pPr>
        <w:spacing w:after="200" w:line="360" w:lineRule="auto"/>
        <w:ind w:firstLine="720"/>
        <w:jc w:val="both"/>
      </w:pPr>
      <w:r>
        <w:rPr>
          <w:rFonts w:ascii="Times New Roman" w:cs="Times New Roman" w:eastAsia="Times New Roman" w:hAnsi="Times New Roman"/>
          <w:color w:val="000000"/>
          <w:sz w:val="24"/>
          <w:szCs w:val="24"/>
        </w:rPr>
        <w:t>A esta justificación se suma una dimensión de responsabilidad tecnológica. Por operar sobre un dominio sensible —el archivo judicial de crímenes de lesa humanidad— y sobre sujetos vulnerables —las víctimas de los falsos positivos—, la CFH se diseñó en conformidad con los principios de la inteligencia artificial responsable y con los marcos normativos aplicables al uso de IA en la administración de justicia y los derechos humanos, tanto nacionales (Directiva Presidencial 007 de 2019) como internacionales (el Reglamento Europeo de IA, el GDPR, el marco del NIST y los Principios de la OCDE sobre IA). El desarrollo detallado de este marco de cumplimiento y de los cinco principios operativos que guían el diseño del framework —transparencia, explicabilidad, no maleficencia, supervisión humana y equidad— se presenta en la sección 6.3.5.</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1.5 Estructura del documento</w:t>
      </w:r>
    </w:p>
    <w:p>
      <w:pPr>
        <w:spacing w:after="200" w:line="360" w:lineRule="auto"/>
        <w:ind w:firstLine="720"/>
        <w:jc w:val="both"/>
      </w:pPr>
      <w:r>
        <w:rPr>
          <w:rFonts w:ascii="Times New Roman" w:cs="Times New Roman" w:eastAsia="Times New Roman" w:hAnsi="Times New Roman"/>
          <w:color w:val="000000"/>
          <w:sz w:val="24"/>
          <w:szCs w:val="24"/>
        </w:rPr>
        <w:t xml:space="preserve">Este documento está organizado en seis capítulos. El Capítulo 2 presenta el estado del arte en cinco áreas: violencia cultural y lenguaje institucional, NLP aplicado a textos judiciales, análisis multimodal de sinceridad y autenticidad, justicia transicional computacional, y modelos de injusticia discursiva. El Capítulo 3 desarrolla el marco teórico articulando Habermas (colonización sistémica del lenguaje), Fraser (paridad participativa y reconocimiento), Galtung (violencia cultural), Zehr (justicia restaurativa) y Fricker (injusticia epistémica y hermeneutical gap), y formaliza el framework CFH con sus tres capas, el DIS Score, el IEI y el ICM tri-canal v2. El Capítulo 4 describe la metodología: corpus multimodal, pipeline de procesamiento, taxonomía CFH, extractores léxicos y semánticos, extracción de features acústicas (OpenSMILE eGeMAPS) y faciales (OpenFace 3.0 / MediaPipe FaceLandmarker), guía de muestreo multimodal de tres filtros, y el modelo de análisis de senderos. El Capítulo 5 presenta los resultados por capa. El Capítulo 6 discute los hallazgos, las limitaciones y las implicaciones para la replicación del framework en otros contextos de justicia transicional global.</w:t>
      </w:r>
    </w:p>
    <w:p>
      <w:pPr>
        <w:spacing w:after="360"/>
      </w:pPr>
      <w:r>
        <w:rPr>
          <w:rFonts w:ascii="Times New Roman" w:cs="Times New Roman" w:eastAsia="Times New Roman" w:hAnsi="Times New Roman"/>
          <w:color w:val="000000"/>
          <w:sz w:val="24"/>
          <w:szCs w:val="24"/>
        </w:rPr>
        <w:t xml:space="preserve"/>
      </w:r>
    </w:p>
    <w:p>
      <w:pPr>
        <w:spacing w:after="200" w:before="480"/>
      </w:pPr>
      <w:r>
        <w:rPr>
          <w:rFonts w:ascii="Times New Roman" w:cs="Times New Roman" w:eastAsia="Times New Roman" w:hAnsi="Times New Roman"/>
          <w:b/>
          <w:bCs/>
          <w:color w:val="000000"/>
          <w:sz w:val="22"/>
          <w:szCs w:val="22"/>
        </w:rPr>
        <w:t xml:space="preserve">Referencias citadas en esta sección</w:t>
      </w:r>
    </w:p>
    <w:p>
      <w:pPr>
        <w:spacing w:after="120"/>
        <w:ind w:left="720" w:hanging="720"/>
        <w:jc w:val="both"/>
      </w:pPr>
      <w:r>
        <w:rPr>
          <w:rFonts w:ascii="Times New Roman" w:cs="Times New Roman" w:eastAsia="Times New Roman" w:hAnsi="Times New Roman"/>
          <w:color w:val="000000"/>
          <w:sz w:val="20"/>
          <w:szCs w:val="20"/>
        </w:rPr>
        <w:t xml:space="preserve">Gutiérrez-Osorio, C., et al. (2025). Construyendo la verdad: minería de texto y redes lingüísticas en audiencias públicas del Caso 03 de la JEP. arXiv:2504.04325.</w:t>
      </w:r>
    </w:p>
    <w:p>
      <w:pPr>
        <w:spacing w:after="120"/>
        <w:ind w:left="720" w:hanging="720"/>
        <w:jc w:val="both"/>
      </w:pPr>
      <w:r>
        <w:rPr>
          <w:rFonts w:ascii="Times New Roman" w:cs="Times New Roman" w:eastAsia="Times New Roman" w:hAnsi="Times New Roman"/>
          <w:color w:val="000000"/>
          <w:sz w:val="20"/>
          <w:szCs w:val="20"/>
        </w:rPr>
        <w:t xml:space="preserve">Habermas, J. (1987). The Theory of Communicative Action, Vol. 2: Lifeworld and System. Beacon Press.</w:t>
      </w:r>
    </w:p>
    <w:p>
      <w:pPr>
        <w:spacing w:after="120"/>
        <w:ind w:left="720" w:hanging="720"/>
        <w:jc w:val="both"/>
      </w:pPr>
      <w:r>
        <w:rPr>
          <w:rFonts w:ascii="Times New Roman" w:cs="Times New Roman" w:eastAsia="Times New Roman" w:hAnsi="Times New Roman"/>
          <w:color w:val="000000"/>
          <w:sz w:val="20"/>
          <w:szCs w:val="20"/>
        </w:rPr>
        <w:t xml:space="preserve">Human Rights Watch. (2015). El rol de los altos mandos en los falsos positivos. HRW.</w:t>
      </w:r>
    </w:p>
    <w:p>
      <w:pPr>
        <w:spacing w:after="120"/>
        <w:ind w:left="720" w:hanging="720"/>
        <w:jc w:val="both"/>
      </w:pPr>
      <w:r>
        <w:rPr>
          <w:rFonts w:ascii="Times New Roman" w:cs="Times New Roman" w:eastAsia="Times New Roman" w:hAnsi="Times New Roman"/>
          <w:color w:val="000000"/>
          <w:sz w:val="20"/>
          <w:szCs w:val="20"/>
        </w:rPr>
        <w:t xml:space="preserve">JEP — Jurisdicción Especial para la Paz. (2021). Auto No. 125 de 2021 — Caso 03, Subcaso Norte de Santander. Sala de Reconocimiento de Verdad, de Responsabilidad y de Determinación de los Hechos y Conductas.</w:t>
      </w:r>
    </w:p>
    <w:p>
      <w:pPr>
        <w:spacing w:after="120"/>
        <w:ind w:left="720" w:hanging="720"/>
        <w:jc w:val="both"/>
      </w:pPr>
      <w:r>
        <w:rPr>
          <w:rFonts w:ascii="Times New Roman" w:cs="Times New Roman" w:eastAsia="Times New Roman" w:hAnsi="Times New Roman"/>
          <w:color w:val="000000"/>
          <w:sz w:val="20"/>
          <w:szCs w:val="20"/>
        </w:rPr>
        <w:t xml:space="preserve">Fraser, N. (1995). From redistribution to recognition? Dilemmas of justice in a 'post-socialist' age. New Left Review, 212, 68–93.</w:t>
      </w:r>
    </w:p>
    <w:p>
      <w:pPr>
        <w:spacing w:after="120"/>
        <w:ind w:left="720" w:hanging="720"/>
        <w:jc w:val="both"/>
      </w:pPr>
      <w:r>
        <w:rPr>
          <w:rFonts w:ascii="Times New Roman" w:cs="Times New Roman" w:eastAsia="Times New Roman" w:hAnsi="Times New Roman"/>
          <w:color w:val="000000"/>
          <w:sz w:val="20"/>
          <w:szCs w:val="20"/>
        </w:rPr>
        <w:t xml:space="preserve">Galtung, J. (1990). Cultural violence. Journal of Peace Research, 27(3), 291–305.</w:t>
      </w:r>
    </w:p>
    <w:p>
      <w:pPr>
        <w:spacing w:after="120"/>
        <w:ind w:left="720" w:hanging="720"/>
        <w:jc w:val="both"/>
      </w:pPr>
      <w:r>
        <w:rPr>
          <w:rFonts w:ascii="Times New Roman" w:cs="Times New Roman" w:eastAsia="Times New Roman" w:hAnsi="Times New Roman"/>
          <w:color w:val="000000"/>
          <w:sz w:val="20"/>
          <w:szCs w:val="20"/>
        </w:rPr>
        <w:t xml:space="preserve">Van Dijk, T. A. (2008). Discourse and Power. Palgrave Macmillan.</w:t>
      </w:r>
    </w:p>
    <w:p>
      <w:pPr>
        <w:spacing w:after="120"/>
        <w:ind w:left="720" w:hanging="720"/>
        <w:jc w:val="both"/>
      </w:pPr>
      <w:r>
        <w:rPr>
          <w:rFonts w:ascii="Times New Roman" w:cs="Times New Roman" w:eastAsia="Times New Roman" w:hAnsi="Times New Roman"/>
          <w:color w:val="000000"/>
          <w:sz w:val="20"/>
          <w:szCs w:val="20"/>
        </w:rPr>
        <w:t xml:space="preserve">Yang, W., Alsarra, S., Abdeljaber, L., Zawad, N., Delaram, Z., Osorio, J., Khan, L., Brandt, P., y D'Orazio, V. (2023). ConfliBERT-Spanish: A Pre-trained Spanish Language Model for Political Conflict and Violence. IEEE CiSt 2023, pp. 287–292.</w:t>
      </w:r>
    </w:p>
    <w:p>
      <w:pPr>
        <w:spacing w:after="120"/>
        <w:ind w:left="720" w:hanging="720"/>
        <w:jc w:val="both"/>
      </w:pPr>
      <w:r>
        <w:rPr>
          <w:rFonts w:ascii="Times New Roman" w:cs="Times New Roman" w:eastAsia="Times New Roman" w:hAnsi="Times New Roman"/>
          <w:color w:val="000000"/>
          <w:sz w:val="20"/>
          <w:szCs w:val="20"/>
        </w:rPr>
        <w:t xml:space="preserve">Zehr, H. (2002). The Little Book of Restorative Justice. Good Books.</w:t>
      </w:r>
    </w:p>
    <w:p>
      <w:r>
        <w:br w:type="page"/>
      </w:r>
    </w:p>
    <w:p>
      <w:pPr>
        <w:pStyle w:val="Heading1"/>
        <w:spacing w:after="240" w:before="480"/>
        <w:outlineLvl w:val="0"/>
      </w:pPr>
      <w:r>
        <w:rPr>
          <w:rFonts w:ascii="Times New Roman" w:cs="Times New Roman" w:eastAsia="Times New Roman" w:hAnsi="Times New Roman"/>
          <w:b/>
          <w:bCs/>
          <w:color w:val="0D2137"/>
          <w:sz w:val="28"/>
          <w:szCs w:val="28"/>
        </w:rPr>
        <w:t xml:space="preserve">2. Estado del arte</w:t>
      </w:r>
    </w:p>
    <w:p>
      <w:pPr>
        <w:spacing w:after="200" w:line="360" w:lineRule="auto"/>
        <w:ind w:firstLine="720"/>
        <w:jc w:val="both"/>
      </w:pPr>
      <w:r>
        <w:rPr>
          <w:rFonts w:ascii="Times New Roman" w:cs="Times New Roman" w:eastAsia="Times New Roman" w:hAnsi="Times New Roman"/>
          <w:color w:val="000000"/>
          <w:sz w:val="24"/>
          <w:szCs w:val="24"/>
        </w:rPr>
        <w:t xml:space="preserve">Este capítulo revisa la literatura existente en cinco áreas que constituyen los antecedentes directos de la Hermenéutica Forense Computacional (CFH): el fenómeno de los falsos positivos y su documentación académica e institucional; las aplicaciones de NLP al análisis de textos judiciales y audiencias de justicia transicional; el análisis multimodal de sinceridad y autenticidad en contextos forenses; la intersección entre justicia transicional y análisis crítico del discurso; y los frameworks computacionales para la medición de constructos discursivos. La revisión identifica los avances relevantes y la brecha que la CFH busca llenar: la ausencia de un framework multimodal, computacionalmente escalable y teóricamente fundamentado para medir la injusticia discursiva en archivos judiciales de justicia transicional.</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2.1 El fenómeno de los falsos positivos: documentación académica e institucional</w:t>
      </w:r>
    </w:p>
    <w:p>
      <w:pPr>
        <w:pStyle w:val="Heading3"/>
        <w:spacing w:after="140" w:before="280"/>
        <w:outlineLvl w:val="2"/>
      </w:pPr>
      <w:r>
        <w:rPr>
          <w:rFonts w:ascii="Times New Roman" w:cs="Times New Roman" w:eastAsia="Times New Roman" w:hAnsi="Times New Roman"/>
          <w:b/>
          <w:bCs/>
          <w:i/>
          <w:iCs/>
          <w:color w:val="000000"/>
          <w:sz w:val="24"/>
          <w:szCs w:val="24"/>
        </w:rPr>
        <w:t xml:space="preserve">2.1.1 Caracterización y contexto histórico</w:t>
      </w:r>
    </w:p>
    <w:p>
      <w:pPr>
        <w:spacing w:after="200" w:line="360" w:lineRule="auto"/>
        <w:ind w:firstLine="720"/>
        <w:jc w:val="both"/>
      </w:pPr>
      <w:r>
        <w:rPr>
          <w:rFonts w:ascii="Times New Roman" w:cs="Times New Roman" w:eastAsia="Times New Roman" w:hAnsi="Times New Roman"/>
          <w:color w:val="000000"/>
          <w:sz w:val="24"/>
          <w:szCs w:val="24"/>
        </w:rPr>
        <w:t xml:space="preserve">El término «falsos positivos» designa la práctica de agentes del Estado colombiano —principalmente miembros del Ejército Nacional— de asesinar civiles desarmados y presentarlos fraudulentamente como guerrilleros o delincuentes abatidos en combate legítimo (Human Rights Watch, 2015; ICC, 2020). El engaño se ejecutaba mediante la manipulación sistemática de las escenas del crimen: siembra de armas y uniformes en los cuerpos de las víctimas, elaboración de informes de operaciones que describían combates inexistentes, y construcción de expedientes judiciales que certificaban la legitimidad de las «bajas» (OACNUDH, 2010).</w:t>
      </w:r>
    </w:p>
    <w:p>
      <w:pPr>
        <w:spacing w:after="200" w:line="360" w:lineRule="auto"/>
        <w:ind w:firstLine="720"/>
        <w:jc w:val="both"/>
      </w:pPr>
      <w:r>
        <w:rPr>
          <w:rFonts w:ascii="Times New Roman" w:cs="Times New Roman" w:eastAsia="Times New Roman" w:hAnsi="Times New Roman"/>
          <w:color w:val="000000"/>
          <w:sz w:val="24"/>
          <w:szCs w:val="24"/>
        </w:rPr>
        <w:t xml:space="preserve">La magnitud del fenómeno ha sido objeto de estimaciones crecientes a medida que avanza la investigación judicial. La JEP determinó que al menos 6.402 personas fueron asesinadas ilegítimamente y presentadas como bajas en combate entre 2002 y 2008 (JEP, 2021). Human Rights Watch (2020) eleva esa cifra a entre 8.000 y 10.000, mientras que la Comisión de la Verdad (2022) contabilizó 9.509 víctimas de ejecuciones extrajudiciales en el período 1958-2022. La diferencia entre estimaciones refleja los distintos períodos y criterios de clasificación, pero todas coinciden en que el fenómeno fue masivo, sistemático y concentrado geográficamente.</w:t>
      </w:r>
    </w:p>
    <w:p>
      <w:pPr>
        <w:pStyle w:val="Heading3"/>
        <w:spacing w:after="140" w:before="280"/>
        <w:outlineLvl w:val="2"/>
      </w:pPr>
      <w:r>
        <w:rPr>
          <w:rFonts w:ascii="Times New Roman" w:cs="Times New Roman" w:eastAsia="Times New Roman" w:hAnsi="Times New Roman"/>
          <w:b/>
          <w:bCs/>
          <w:i/>
          <w:iCs/>
          <w:color w:val="000000"/>
          <w:sz w:val="24"/>
          <w:szCs w:val="24"/>
        </w:rPr>
        <w:t xml:space="preserve">2.1.2 El sistema de incentivos y la ingeniería burocrática del lenguaje</w:t>
      </w:r>
    </w:p>
    <w:p>
      <w:pPr>
        <w:spacing w:after="200" w:line="360" w:lineRule="auto"/>
        <w:ind w:firstLine="720"/>
        <w:jc w:val="both"/>
      </w:pPr>
      <w:r>
        <w:rPr>
          <w:rFonts w:ascii="Times New Roman" w:cs="Times New Roman" w:eastAsia="Times New Roman" w:hAnsi="Times New Roman"/>
          <w:color w:val="000000"/>
          <w:sz w:val="24"/>
          <w:szCs w:val="24"/>
        </w:rPr>
        <w:t xml:space="preserve">El análisis académico convergente identifica la escalada de los falsos positivos entre 2002 y 2008 con la Política de Seguridad Democrática (PSD) de la administración Uribe y su sistema de incentivos perversos (ICC, 2020; Human Rights Watch, 2015). Las Directivas ministeriales No. 029 de 2005 y No. 002 de 2008 —que establecían recompensas económicas, beneficios y ascensos por la obtención de «bajas»— crearon las condiciones institucionales para que el asesinato de civiles fuera rentable para los perpetradores.</w:t>
      </w:r>
    </w:p>
    <w:p>
      <w:pPr>
        <w:spacing w:after="200" w:line="360" w:lineRule="auto"/>
        <w:ind w:firstLine="720"/>
        <w:jc w:val="both"/>
      </w:pPr>
      <w:r>
        <w:rPr>
          <w:rFonts w:ascii="Times New Roman" w:cs="Times New Roman" w:eastAsia="Times New Roman" w:hAnsi="Times New Roman"/>
          <w:color w:val="000000"/>
          <w:sz w:val="24"/>
          <w:szCs w:val="24"/>
        </w:rPr>
        <w:t xml:space="preserve">Una contribución central del trabajo académico sobre los falsos positivos es el concepto de ingeniería burocrática del lenguaje: la producción sistemática e institucionalizada de un vocabulario que hacía la violencia invisible. Los informes militares no decían «asesinamos a un civil»; decían «se presentó un resultado operacional positivo en el marco de la misión táctica No. X». Este vocabulario no era inocente: era el mecanismo discursivo que permitía que los homicidios fueran registrados, archivados, reportados y eventualmente juzgados como acciones legítimas. La terminología eufemística viajaba del informe militar al expediente judicial, y del expediente judicial a la sentencia, construyendo una cadena documental de legitimación del crimen.</w:t>
      </w:r>
    </w:p>
    <w:p>
      <w:pPr>
        <w:pStyle w:val="Heading3"/>
        <w:spacing w:after="140" w:before="280"/>
        <w:outlineLvl w:val="2"/>
      </w:pPr>
      <w:r>
        <w:rPr>
          <w:rFonts w:ascii="Times New Roman" w:cs="Times New Roman" w:eastAsia="Times New Roman" w:hAnsi="Times New Roman"/>
          <w:b/>
          <w:bCs/>
          <w:i/>
          <w:iCs/>
          <w:color w:val="000000"/>
          <w:sz w:val="24"/>
          <w:szCs w:val="24"/>
        </w:rPr>
        <w:t xml:space="preserve">2.1.3 El papel de las organizaciones de víctimas y la sociedad civil</w:t>
      </w:r>
    </w:p>
    <w:p>
      <w:pPr>
        <w:spacing w:after="200" w:line="360" w:lineRule="auto"/>
        <w:ind w:firstLine="720"/>
        <w:jc w:val="both"/>
      </w:pPr>
      <w:r>
        <w:rPr>
          <w:rFonts w:ascii="Times New Roman" w:cs="Times New Roman" w:eastAsia="Times New Roman" w:hAnsi="Times New Roman"/>
          <w:color w:val="000000"/>
          <w:sz w:val="24"/>
          <w:szCs w:val="24"/>
        </w:rPr>
        <w:t xml:space="preserve">La documentación de los falsos positivos no emergió del sistema judicial sino de la resistencia organizada de las víctimas y las organizaciones de derechos humanos. MAFAPO (Madres de Falsos Positivos de Soacha y Bogotá) fue una de las primeras organizaciones en sistematizar los testimonios de las familias y en exigir públicamente la recuperación de los cuerpos y la verdad sobre las circunstancias de las muertes (CNMH, 2019). El CINEP/Programa por la Paz documentó sistemáticamente los casos a través de su Banco de Datos de Derechos Humanos y Violencia Política (CINEP, 2020). El Centro Nacional de Memoria Histórica trabajó con las familias para dignificar la memoria de las víctimas mediante la recolección de objetos personales y la producción de relatos que restituían la identidad de quienes habían sido deshumanizados en el lenguaje castrense.</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2.2 NLP aplicado a textos judiciales y audiencias de justicia transicional</w:t>
      </w:r>
    </w:p>
    <w:p>
      <w:pPr>
        <w:pStyle w:val="Heading3"/>
        <w:spacing w:after="140" w:before="280"/>
        <w:outlineLvl w:val="2"/>
      </w:pPr>
      <w:r>
        <w:rPr>
          <w:rFonts w:ascii="Times New Roman" w:cs="Times New Roman" w:eastAsia="Times New Roman" w:hAnsi="Times New Roman"/>
          <w:b/>
          <w:bCs/>
          <w:i/>
          <w:iCs/>
          <w:color w:val="000000"/>
          <w:sz w:val="24"/>
          <w:szCs w:val="24"/>
        </w:rPr>
        <w:t xml:space="preserve">2.2.1 El campo del NLP jurídico</w:t>
      </w:r>
    </w:p>
    <w:p>
      <w:pPr>
        <w:spacing w:after="200" w:line="360" w:lineRule="auto"/>
        <w:ind w:firstLine="720"/>
        <w:jc w:val="both"/>
      </w:pPr>
      <w:r>
        <w:rPr>
          <w:rFonts w:ascii="Times New Roman" w:cs="Times New Roman" w:eastAsia="Times New Roman" w:hAnsi="Times New Roman"/>
          <w:color w:val="000000"/>
          <w:sz w:val="24"/>
          <w:szCs w:val="24"/>
        </w:rPr>
        <w:t xml:space="preserve">La aplicación del procesamiento de lenguaje natural a textos jurídicos —el campo conocido como Legal NLP o LegalTech— ha experimentado un desarrollo acelerado en la última década, impulsado por la disponibilidad de grandes corpus de decisiones judiciales en formato digital y por la emergencia de modelos de lenguaje preentrenados de alta capacidad (Chalkidis et al., 2023). Las tareas abordadas por el Legal NLP incluyen la clasificación de sentencias por área del derecho, la extracción de entidades legales, la predicción del resultado de casos, el resumen automático de decisiones judiciales, y la detección de inconsistencias argumentativas (Zhong et al., 2020).</w:t>
      </w:r>
    </w:p>
    <w:p>
      <w:pPr>
        <w:pStyle w:val="Heading3"/>
        <w:spacing w:after="140" w:before="280"/>
        <w:outlineLvl w:val="2"/>
      </w:pPr>
      <w:r>
        <w:rPr>
          <w:rFonts w:ascii="Times New Roman" w:cs="Times New Roman" w:eastAsia="Times New Roman" w:hAnsi="Times New Roman"/>
          <w:b/>
          <w:bCs/>
          <w:i/>
          <w:iCs/>
          <w:color w:val="000000"/>
          <w:sz w:val="24"/>
          <w:szCs w:val="24"/>
        </w:rPr>
        <w:t xml:space="preserve">2.2.2 Modelos de lenguaje especializados en conflicto</w:t>
      </w:r>
    </w:p>
    <w:p>
      <w:pPr>
        <w:spacing w:after="200" w:line="360" w:lineRule="auto"/>
        <w:ind w:firstLine="720"/>
        <w:jc w:val="both"/>
      </w:pPr>
      <w:r>
        <w:rPr>
          <w:rFonts w:ascii="Times New Roman" w:cs="Times New Roman" w:eastAsia="Times New Roman" w:hAnsi="Times New Roman"/>
          <w:color w:val="000000"/>
          <w:sz w:val="24"/>
          <w:szCs w:val="24"/>
        </w:rPr>
        <w:t xml:space="preserve">Un avance particularmente relevante para esta investigación es el desarrollo de modelos de lenguaje preentrenados específicamente en corpus de conflicto político y violencia armada. Yang et al. (2022) presentaron ConfliBERT, una familia de modelos BERT entrenados sobre corpus de noticias, reportes de conflicto y documentos de análisis político, demostrando mejoras significativas respecto a modelos genéricos como mBERT en tareas de clasificación de eventos violentos. La variante ConfliBERT-Spanish (Yang et al., 2023), entrenada sobre corpus en español relacionados con el conflicto político latinoamericano, es el motor NLP central de la CFH: a diferencia de modelos genéricos como BETO (Cañete et al., 2020), ha sido expuesta durante el preentrenamiento a vocabulario de violencia política, terminología militar y lenguaje de derechos humanos que es precisamente el dominio del corpus CFH.
La emergencia de los grandes modelos de lenguaje (LLMs) —GPT-4, Claude (Anthropic), Gemini— ha abierto nuevas posibilidades para el análisis cualitativo de textos en ciencias sociales. Gilardi et al. (2023) demostraron que ChatGPT supera a anotadores no especializados en tareas de anotación de texto, y trabajos recientes exploran su uso en análisis cualitativo iterativo donde el investigador sostiene un diálogo con el modelo para explorar categorías emergentes (Kübler-Wachendorff et al., 2024). Sin embargo, para el pipeline CFH se optó por ConfliBERT-Spanish como motor de embeddings y clasificación por tres razones. Primera, razón de dominio: ConfliBERT-Spanish fue preentrenado sobre corpus de conflicto político latinoamericano, mientras los LLMs de propósito general han sido entrenados para evitar reproducir lenguaje de violencia —lo que introduce sesgos sistemáticos en dominios donde ese lenguaje es precisamente el objeto de análisis. Segunda, razón de reproducibilidad: los LLMs con API son sistemas cerrados cuyos pesos y datos de entrenamiento cambian sin aviso; ConfliBERT-Spanish es un modelo abierto con versión fija verificable. Tercera, razón de escala y costo: procesar 4.085 bloques judiciales con un LLM de API tiene costo prohibitivo y latencia incompatible con el pipeline. Los LLMs sí se incorporan en la CFH en una función específica y acotada: la generación de paráfrasis para aumentación de datos en el entrenamiento de CFH-BERT v3 (§4.5.2), donde su capacidad generativa añade valor sin comprometer la reproducibilidad del análisis principal.</w:t>
      </w:r>
    </w:p>
    <w:p>
      <w:pPr>
        <w:pStyle w:val="Heading3"/>
        <w:spacing w:after="140" w:before="280"/>
        <w:outlineLvl w:val="2"/>
      </w:pPr>
      <w:r>
        <w:rPr>
          <w:rFonts w:ascii="Times New Roman" w:cs="Times New Roman" w:eastAsia="Times New Roman" w:hAnsi="Times New Roman"/>
          <w:b/>
          <w:bCs/>
          <w:i/>
          <w:iCs/>
          <w:color w:val="000000"/>
          <w:sz w:val="24"/>
          <w:szCs w:val="24"/>
        </w:rPr>
        <w:t xml:space="preserve">2.2.3 NLP aplicado al Macrocaso 003: antecedente directo</w:t>
      </w:r>
    </w:p>
    <w:p>
      <w:pPr>
        <w:spacing w:after="200" w:line="360" w:lineRule="auto"/>
        <w:ind w:firstLine="720"/>
        <w:jc w:val="both"/>
      </w:pPr>
      <w:r>
        <w:rPr>
          <w:rFonts w:ascii="Times New Roman" w:cs="Times New Roman" w:eastAsia="Times New Roman" w:hAnsi="Times New Roman"/>
          <w:color w:val="000000"/>
          <w:sz w:val="24"/>
          <w:szCs w:val="24"/>
        </w:rPr>
        <w:t xml:space="preserve">Gutiérrez-Osorio et al. (2025) publicaron el primer análisis computacional aplicado directamente a las audiencias públicas del Macrocaso 003 de la JEP. Utilizando minería de texto, análisis de sentimiento y redes semánticas skipgram sobre transcripciones de audiencias, los autores identificaron clusters temáticos que revelan diferencias regionales y de estatus procesal en el discurso de los comparecientes. Su trabajo demuestra la viabilidad técnica del NLP aplicado al corpus de audiencias JEP y constituye el antecedente empírico más directo de esta investigación en el contexto colombiano.</w:t>
      </w:r>
    </w:p>
    <w:p>
      <w:pPr>
        <w:spacing w:after="200" w:line="360" w:lineRule="auto"/>
        <w:ind w:firstLine="720"/>
        <w:jc w:val="both"/>
      </w:pPr>
      <w:r>
        <w:rPr>
          <w:rFonts w:ascii="Times New Roman" w:cs="Times New Roman" w:eastAsia="Times New Roman" w:hAnsi="Times New Roman"/>
          <w:color w:val="000000"/>
          <w:sz w:val="24"/>
          <w:szCs w:val="24"/>
        </w:rPr>
        <w:t xml:space="preserve">Sin embargo, el trabajo de Gutiérrez-Osorio et al. (2025) se centra en el análisis de sentimiento y la estructura temática del discurso, sin abordar los mecanismos específicos de violencia discursiva —eufemismo, supresión de agentividad, negación de victimización— ni la comparación con el discurso de la justicia ordinaria que precede a la JEP. La CFH complementa y extiende este trabajo al operacionalizar conceptos del análisis crítico del discurso, incorporar el análisis multimodal de las audiencias orales, y proponer un framework replicable en otros contextos de justicia transicional.</w:t>
      </w:r>
    </w:p>
    <w:p>
      <w:pPr>
        <w:spacing w:after="200" w:line="360" w:lineRule="auto"/>
        <w:ind w:firstLine="720"/>
        <w:jc w:val="both"/>
      </w:pPr>
      <w:r>
        <w:rPr>
          <w:sz w:val="24"/>
          <w:szCs w:val="24"/>
        </w:rPr>
        <w:t xml:space="preserve">Los mecanismos de violencia discursiva que la CFH mide tienen referentes directos en la literatura NLP. El marco de los Connotation Frames of Power and Agency (Sap et al., 2017) provee fundamento computacional para el indicador y₂ Supresión de Agentividad: los verbos proyectan relaciones de poder y agencia entre agente y paciente que pueden cuantificarse. Antoniak et al. (2023) operacionalizan este marco en Riveter, un pipeline de código abierto para medir poder y dinámica social en texto. Mendelsohn et al. (2020) desarrollan un framework computacional de deshumanización con métricas operativas que fundamenta el indicador y₄ Negación de Victimización: el eufemismo bélico que convierte civiles en «bajas en combate» es una forma de deshumanización discursiva cuantificable.</w:t>
      </w:r>
    </w:p>
    <w:p>
      <w:pPr>
        <w:spacing w:after="200" w:line="360" w:lineRule="auto"/>
        <w:ind w:firstLine="720"/>
        <w:jc w:val="both"/>
      </w:pPr>
      <w:r>
        <w:rPr>
          <w:i/>
          <w:sz w:val="20"/>
          <w:szCs w:val="20"/>
          <w:color w:val="2E4057"/>
        </w:rPr>
        <w:t xml:space="preserve">Sap, M., Swayamdipta, S., Viswanathan, L., Zhou, X., Choi, Y., y Smith, N. A. (2017). Connotation Frames of Power and Agency in Modern Films. Proceedings of EMNLP 2017, 2971–2976.</w:t>
      </w:r>
    </w:p>
    <w:p>
      <w:pPr>
        <w:spacing w:after="200" w:line="360" w:lineRule="auto"/>
        <w:ind w:firstLine="720"/>
        <w:jc w:val="both"/>
      </w:pPr>
      <w:r>
        <w:rPr>
          <w:i/>
          <w:sz w:val="20"/>
          <w:szCs w:val="20"/>
          <w:color w:val="2E4057"/>
        </w:rPr>
        <w:t xml:space="preserve">Antoniak, M., Field, A., Bishop, M., Sap, M., y Jurgens, D. (2023). Riveter: Measuring Power and Social Dynamics Between Entities. Proceedings of ACL 2023 (System Demonstrations).</w:t>
      </w:r>
    </w:p>
    <w:p>
      <w:pPr>
        <w:spacing w:after="200" w:line="360" w:lineRule="auto"/>
        <w:ind w:firstLine="720"/>
        <w:jc w:val="both"/>
      </w:pPr>
      <w:r>
        <w:rPr>
          <w:i/>
          <w:sz w:val="20"/>
          <w:szCs w:val="20"/>
          <w:color w:val="2E4057"/>
        </w:rPr>
        <w:t xml:space="preserve">Mendelsohn, J., Tsvetkov, Y., y Jurafsky, D. (2020). A Framework for the Computational Linguistic Analysis of Dehumanization. Frontiers in Artificial Intelligence, 3, 55.</w:t>
      </w:r>
    </w:p>
    <w:p>
      <w:pPr>
        <w:pStyle w:val="Heading3"/>
        <w:spacing w:after="140" w:before="280"/>
        <w:outlineLvl w:val="2"/>
      </w:pPr>
      <w:r>
        <w:rPr>
          <w:rFonts w:ascii="Times New Roman" w:cs="Times New Roman" w:eastAsia="Times New Roman" w:hAnsi="Times New Roman"/>
          <w:b/>
          <w:bCs/>
          <w:i/>
          <w:iCs/>
          <w:color w:val="000000"/>
          <w:sz w:val="24"/>
          <w:szCs w:val="24"/>
        </w:rPr>
        <w:t xml:space="preserve">2.2.4 La brecha en el NLP aplicado a justicia transicional</w:t>
      </w:r>
    </w:p>
    <w:p>
      <w:pPr>
        <w:spacing w:after="200" w:line="360" w:lineRule="auto"/>
        <w:ind w:firstLine="720"/>
        <w:jc w:val="both"/>
      </w:pPr>
      <w:r>
        <w:rPr>
          <w:rFonts w:ascii="Times New Roman" w:cs="Times New Roman" w:eastAsia="Times New Roman" w:hAnsi="Times New Roman"/>
          <w:color w:val="000000"/>
          <w:sz w:val="24"/>
          <w:szCs w:val="24"/>
        </w:rPr>
        <w:t xml:space="preserve">La revisión de literatura revela que no existe, hasta donde alcanza esta búsqueda, un framework de NLP diseñado específicamente para medir los mecanismos de violencia cultural en el discurso judicial de justicia transicional de forma multimodal
Un trabajo reciente que se acerca al objetivo de la CFH desde la ciencia política es Dryzek y Niemeyer (2024), quienes proponen el concepto de injusticia epistémica expresiva (expressive epistemic injustice) y lo operacionalizan mediante el Discourse Representation Index (DRI) sobre datos de procesos deliberativos. Su contribución es metodológicamente próxima a la CFH en cuanto operacionaliza la teoría de Fricker empíricamente. Sin embargo, difiere en tres dimensiones cruciales: su unidad de análisis es el individuo deliberante (no el documento judicial), su método de medición es la encuesta pre-post deliberación (no el análisis computacional de embeddings), y su corpus son espacios de deliberación ciudadana controlados (no archivos de justicia transicional). La CFH llena el espacio que Dryzek y Niemeyer no ocupan: la medición de la injusticia epistémica en el archivo judicial a escala computacional, usando el léxico de las propias víctimas como polo normativo de referencia. —integrando texto, voz y expresión facial. Las herramientas existentes abordan tareas como la detección de discurso de odio, el análisis de la retórica política o la identificación de sesgos en decisiones judiciales, pero ninguna integra las tres modalidades en un índice de injusticia discursiva aplicado a archivos de posconflicto.</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2.3 Análisis multimodal de sinceridad y autenticidad en contextos forenses</w:t>
      </w:r>
    </w:p>
    <w:p>
      <w:pPr>
        <w:pStyle w:val="Heading3"/>
        <w:spacing w:after="140" w:before="280"/>
        <w:outlineLvl w:val="2"/>
      </w:pPr>
      <w:r>
        <w:rPr>
          <w:rFonts w:ascii="Times New Roman" w:cs="Times New Roman" w:eastAsia="Times New Roman" w:hAnsi="Times New Roman"/>
          <w:b/>
          <w:bCs/>
          <w:i/>
          <w:iCs/>
          <w:color w:val="000000"/>
          <w:sz w:val="24"/>
          <w:szCs w:val="24"/>
        </w:rPr>
        <w:t xml:space="preserve">2.3.1 El campo del análisis multimodal de deception y sinceridad</w:t>
      </w:r>
    </w:p>
    <w:p>
      <w:pPr>
        <w:spacing w:after="200" w:line="360" w:lineRule="auto"/>
        <w:ind w:firstLine="720"/>
        <w:jc w:val="both"/>
      </w:pPr>
      <w:r>
        <w:rPr>
          <w:rFonts w:ascii="Times New Roman" w:cs="Times New Roman" w:eastAsia="Times New Roman" w:hAnsi="Times New Roman"/>
          <w:color w:val="000000"/>
          <w:sz w:val="24"/>
          <w:szCs w:val="24"/>
        </w:rPr>
        <w:t xml:space="preserve">El análisis computacional de la autenticidad y la sinceridad en el discurso humano —especialmente en contextos de alta carga emocional como testimonios judiciales— ha emergido como un campo interdisciplinario que integra NLP, procesamiento de señal de voz y visión por computador (Pérez-Rosas et al., 2015). El corpus fundacional "Real-life Trial" demostró que la combinación de features verbales y no-verbales supera a los evaluadores humanos en la detección de deception, con precisiones del 60-75% en condiciones multimodales. Este campo es directamente relevante para la CFH: el Índice de Congruencia Multimodal (ICM) mide precisamente la coherencia entre lo que el compareciente dice, cómo lo dice vocalmente y cómo lo expresa facialmente.</w:t>
      </w:r>
    </w:p>
    <w:p>
      <w:pPr>
        <w:spacing w:after="200" w:line="360" w:lineRule="auto"/>
        <w:ind w:firstLine="720"/>
        <w:jc w:val="both"/>
      </w:pPr>
      <w:r>
        <w:rPr>
          <w:i/>
          <w:sz w:val="20"/>
          <w:szCs w:val="20"/>
          <w:color w:val="2E4057"/>
        </w:rPr>
        <w:t xml:space="preserve">Camara, M. K., Postal, A., Maul, T. H., y Paetzold, G. H. (2024). Can lies be faked? Comparing low-stakes and high-stakes deception video datasets from a Machine Learning perspective. Expert Systems with Applications, 249, 123684. https://doi.org/10.1016/j.eswa.2024.123684</w:t>
      </w:r>
    </w:p>
    <w:p>
      <w:pPr>
        <w:spacing w:after="200" w:line="360" w:lineRule="auto"/>
        <w:ind w:firstLine="720"/>
        <w:jc w:val="both"/>
      </w:pPr>
      <w:r>
        <w:rPr>
          <w:sz w:val="24"/>
          <w:szCs w:val="24"/>
        </w:rPr>
        <w:t xml:space="preserve">El análisis computacional de la autenticidad y la sinceridad en el discurso humano —especialmente en contextos de alta carga emocional como testimonios judiciales— ha emergido como un campo interdisciplinario que integra NLP, procesamiento de señal de voz y visión por computador (Pérez-Rosas et al., 2015). Una advertencia técnica crítica para este campo, directamente relevante para la CFH, proviene de Camara et al. (2024): los modelos de detección de engaño entrenados en escenarios low-stakes —juegos, entrevistas de bajo riesgo, corpus de laboratorio— no transfieren de forma fiable a escenarios high-stakes como juicios reales o audiencias de justicia transicional, donde las consecuencias para el declarante son irreversibles. Esta limitación invalida el uso directo de modelos preentrenados y justifica que la CFH calibre su propio sistema desde el corpus del Macrocaso 003.</w:t>
      </w:r>
    </w:p>
    <w:p>
      <w:pPr>
        <w:pStyle w:val="Heading3"/>
        <w:spacing w:after="140" w:before="280"/>
        <w:outlineLvl w:val="2"/>
      </w:pPr>
      <w:r>
        <w:rPr>
          <w:rFonts w:ascii="Times New Roman" w:cs="Times New Roman" w:eastAsia="Times New Roman" w:hAnsi="Times New Roman"/>
          <w:b/>
          <w:bCs/>
          <w:i/>
          <w:iCs/>
          <w:color w:val="000000"/>
          <w:sz w:val="24"/>
          <w:szCs w:val="24"/>
        </w:rPr>
        <w:t xml:space="preserve">2.3.2 Análisis multimodal en contextos judiciales en español</w:t>
      </w:r>
    </w:p>
    <w:p>
      <w:pPr>
        <w:spacing w:after="200" w:line="360" w:lineRule="auto"/>
        <w:ind w:firstLine="720"/>
        <w:jc w:val="both"/>
      </w:pPr>
      <w:r>
        <w:rPr>
          <w:rFonts w:ascii="Times New Roman" w:cs="Times New Roman" w:eastAsia="Times New Roman" w:hAnsi="Times New Roman"/>
          <w:color w:val="000000"/>
          <w:sz w:val="24"/>
          <w:szCs w:val="24"/>
        </w:rPr>
        <w:t xml:space="preserve">Baldivas et al. (2025) presentaron LegalEye, el primer sistema de análisis multimodal de deception en contextos judiciales en múltiples idiomas incluyendo el español. El sistema integra Action Units faciales (FAUs), MFCCs acústicos y features léxicos mediante fusión tardía, alcanzando 97% de accuracy en inglés y 85% en español. Un hallazgo directamente relevante para la CFH es que la modalidad acústica domina en español —más que la visual— lo que sugiere que el eGeMAPS de OpenSMILE puede ser el canal más informativo para medir la sinceridad del reconocimiento en las audiencias JEP.</w:t>
      </w:r>
    </w:p>
    <w:p>
      <w:pPr>
        <w:pStyle w:val="Heading3"/>
        <w:spacing w:after="140" w:before="280"/>
        <w:outlineLvl w:val="2"/>
      </w:pPr>
      <w:r>
        <w:rPr>
          <w:rFonts w:ascii="Times New Roman" w:cs="Times New Roman" w:eastAsia="Times New Roman" w:hAnsi="Times New Roman"/>
          <w:b/>
          <w:bCs/>
          <w:i/>
          <w:iCs/>
          <w:color w:val="000000"/>
          <w:sz w:val="24"/>
          <w:szCs w:val="24"/>
        </w:rPr>
        <w:t xml:space="preserve">2.3.3 Prosodia como marcador de sinceridad</w:t>
      </w:r>
    </w:p>
    <w:p>
      <w:pPr>
        <w:spacing w:after="200" w:line="360" w:lineRule="auto"/>
        <w:ind w:firstLine="720"/>
        <w:jc w:val="both"/>
      </w:pPr>
      <w:r>
        <w:rPr>
          <w:rFonts w:ascii="Times New Roman" w:cs="Times New Roman" w:eastAsia="Times New Roman" w:hAnsi="Times New Roman"/>
          <w:color w:val="000000"/>
          <w:sz w:val="24"/>
          <w:szCs w:val="24"/>
        </w:rPr>
        <w:t xml:space="preserve">Baird y Coutinho (2019) desarrollaron el Sincere Apology Corpus (SinA-C) con 912 grabaciones de disculpas evaluadas por 22 jueces, alcanzando 79.2% UAR en clasificación sincero/no-sincero con features prosódicas. Sus hallazgos son directamente aplicables a la CFH: las disculpas percibidas como sinceras se caracterizan por pitch inicial alto, volumen bajo y tempo más rápido — patrones que OpenSMILE eGeMAPS puede extraer por segmento diarizado. Goupil et al. (2021) demostraron adicionalmente que existe una firma prosódica cross-lingüística de honestidad independiente del idioma o dialecto, lo que fundamenta el uso de features prosódicos como indicadores válidos de sinceridad en los comparecientes colombianos.</w:t>
      </w:r>
    </w:p>
    <w:p>
      <w:pPr>
        <w:pStyle w:val="Heading3"/>
        <w:spacing w:after="140" w:before="280"/>
        <w:outlineLvl w:val="2"/>
      </w:pPr>
      <w:r>
        <w:rPr>
          <w:rFonts w:ascii="Times New Roman" w:cs="Times New Roman" w:eastAsia="Times New Roman" w:hAnsi="Times New Roman"/>
          <w:b/>
          <w:bCs/>
          <w:i/>
          <w:iCs/>
          <w:color w:val="000000"/>
          <w:sz w:val="24"/>
          <w:szCs w:val="24"/>
        </w:rPr>
        <w:t xml:space="preserve">2.3.4 Expresión facial y reconocimiento de culpa</w:t>
      </w:r>
    </w:p>
    <w:p>
      <w:pPr>
        <w:spacing w:after="200" w:line="360" w:lineRule="auto"/>
        <w:ind w:firstLine="720"/>
        <w:jc w:val="both"/>
      </w:pPr>
      <w:r>
        <w:rPr>
          <w:rFonts w:ascii="Times New Roman" w:cs="Times New Roman" w:eastAsia="Times New Roman" w:hAnsi="Times New Roman"/>
          <w:color w:val="000000"/>
          <w:sz w:val="24"/>
          <w:szCs w:val="24"/>
        </w:rPr>
        <w:t xml:space="preserve">El análisis de la expresión facial en contextos de rendición de cuentas forense ha recibido atención creciente en la literatura. Un hallazgo disruptivo de la investigación reciente (Scientific Reports, 2024) es que la culpa NO tiene un display facial discreto identificable — el frowning (AU4) y el neck touching son los marcadores más asociados, pero su ausencia no implica ausencia de culpa. Este hallazgo refuerza el enfoque de la CFH: en lugar de buscar AUs aisladas de remordimiento, el ICM mide la congruencia entre canales — si el texto expresa reconocimiento pero la voz es monótona y el rostro no presenta distress (AU1+AU4+AU15), esa incongruencia es el indicador de reconocimiento performativo. OpenFace 3.0 (Baltrusaitis et al., 2025) es la herramienta de referencia para extracción de AUs, head pose y gaze direction.</w:t>
      </w:r>
    </w:p>
    <w:p>
      <w:pPr>
        <w:spacing w:after="200" w:line="360" w:lineRule="auto"/>
        <w:ind w:firstLine="720"/>
        <w:jc w:val="both"/>
      </w:pPr>
      <w:r>
        <w:rPr>
          <w:i/>
          <w:sz w:val="20"/>
          <w:szCs w:val="20"/>
          <w:color w:val="2E4057"/>
        </w:rPr>
        <w:t xml:space="preserve">Barrett, L. F., Adolphs, R., Marsella, S., Martinez, A. M., y Pollak, S. D. (2019). Emotional Expressions Reconsidered: Challenges to Inferring Emotion From Human Facial Movements. Psychological Science in the Public Interest, 20(1), 1–68.</w:t>
      </w:r>
    </w:p>
    <w:p>
      <w:pPr>
        <w:spacing w:after="200" w:line="360" w:lineRule="auto"/>
        <w:ind w:firstLine="720"/>
        <w:jc w:val="both"/>
      </w:pPr>
      <w:r>
        <w:rPr>
          <w:i/>
          <w:sz w:val="20"/>
          <w:szCs w:val="20"/>
          <w:color w:val="2E4057"/>
        </w:rPr>
        <w:t xml:space="preserve">Crivelli, C., y Fridlund, A. J. (2018). Facial Displays Are Tools for Social Influence. Trends in Cognitive Sciences, 22(5), 388–399.</w:t>
      </w:r>
    </w:p>
    <w:p>
      <w:pPr>
        <w:spacing w:after="200" w:line="360" w:lineRule="auto"/>
        <w:ind w:firstLine="720"/>
        <w:jc w:val="both"/>
      </w:pPr>
      <w:r>
        <w:rPr>
          <w:i/>
          <w:sz w:val="20"/>
          <w:szCs w:val="20"/>
          <w:color w:val="2E4057"/>
        </w:rPr>
        <w:t xml:space="preserve">Reisenzein, R., Studtmann, M., y Horstmann, G. (2013). Coherence between Emotion and Facial Expression: Evidence from Laboratory Experiments. Emotion Review, 5(1), 16–23.</w:t>
      </w:r>
    </w:p>
    <w:p>
      <w:pPr>
        <w:spacing w:after="200" w:line="360" w:lineRule="auto"/>
        <w:ind w:firstLine="720"/>
        <w:jc w:val="both"/>
      </w:pPr>
      <w:r>
        <w:rPr>
          <w:sz w:val="24"/>
          <w:szCs w:val="24"/>
        </w:rPr>
        <w:t xml:space="preserve">El análisis de la expresión facial en contextos de rendición de cuentas forense ha recibido atención creciente en la literatura. Sin embargo, una revisión sistemática de 68 páginas de Barrett et al. (2019) demuestra que las configuraciones faciales no decodifican estados emocionales internos de manera directa ni universal: son altamente dependientes del contexto cultural, del rol social del hablante y de las normas comunicativas del espacio. Crivelli y Fridlund (2018) demuestran que las caras son actos comunicativos dirigidos a audiencias específicas, no lecturas transparentes del estado interno. Reisenzein et al. (2013) confirman que la coherencia entre emoción y expresión facial es baja incluso en emoción genuina. Estas tres referencias son fundacionales para la recalibración del ICM: no mide sinceridad individual sino patrones de congruencia entre canales comunicativos a nivel de corpus. Un hallazgo disruptivo relevante (Scientific Reports, 2024) es que la culpa no tiene un display facial discreto identificable: el frowning (AU4) y el nod son los únicos marcadores replicables, lo que refuerza la decisión de operar a nivel de corpus.</w:t>
      </w:r>
    </w:p>
    <w:p>
      <w:pPr>
        <w:pStyle w:val="Heading3"/>
        <w:spacing w:after="140" w:before="280"/>
        <w:outlineLvl w:val="2"/>
      </w:pPr>
      <w:r>
        <w:rPr>
          <w:rFonts w:ascii="Times New Roman" w:cs="Times New Roman" w:eastAsia="Times New Roman" w:hAnsi="Times New Roman"/>
          <w:b/>
          <w:bCs/>
          <w:i/>
          <w:iCs/>
          <w:color w:val="000000"/>
          <w:sz w:val="24"/>
          <w:szCs w:val="24"/>
        </w:rPr>
        <w:t xml:space="preserve">2.3.5 El Índice de Congruencia Multimodal como operacionalización de Fraser</w:t>
      </w:r>
    </w:p>
    <w:p>
      <w:pPr>
        <w:spacing w:after="200" w:line="360" w:lineRule="auto"/>
        <w:ind w:firstLine="720"/>
        <w:jc w:val="both"/>
      </w:pPr>
      <w:r>
        <w:rPr>
          <w:rFonts w:ascii="Times New Roman" w:cs="Times New Roman" w:eastAsia="Times New Roman" w:hAnsi="Times New Roman"/>
          <w:color w:val="000000"/>
          <w:sz w:val="24"/>
          <w:szCs w:val="24"/>
        </w:rPr>
        <w:t xml:space="preserve">La contribución metodológica del ICM a este campo es doble. Primero, opera en un dominio radicalmente distinto al de los estudios de deception convencionales: no busca detectar mentiras sino medir la profundidad del reconocimiento en contextos de justicia transicional. Segundo, ancla el análisis técnico en un marco teórico normativo — el reconocimiento genuino de Fraser (1995) — que le da significado político y moral más allá de la clasificación automática. El reconocimiento genuino no es simplemente «sinceridad» en sentido psicológico: es un acto de restauración de la paridad participativa de las víctimas como interlocutoras iguales en el proceso de construcción de verdad.</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2.4 Justicia transicional y análisis del discurso</w:t>
      </w:r>
    </w:p>
    <w:p>
      <w:pPr>
        <w:pStyle w:val="Heading3"/>
        <w:spacing w:after="140" w:before="280"/>
        <w:outlineLvl w:val="2"/>
      </w:pPr>
      <w:r>
        <w:rPr>
          <w:rFonts w:ascii="Times New Roman" w:cs="Times New Roman" w:eastAsia="Times New Roman" w:hAnsi="Times New Roman"/>
          <w:b/>
          <w:bCs/>
          <w:i/>
          <w:iCs/>
          <w:color w:val="000000"/>
          <w:sz w:val="24"/>
          <w:szCs w:val="24"/>
        </w:rPr>
        <w:t xml:space="preserve">2.4.1 El modelo de justicia transicional colombiano</w:t>
      </w:r>
    </w:p>
    <w:p>
      <w:pPr>
        <w:spacing w:after="200" w:line="360" w:lineRule="auto"/>
        <w:ind w:firstLine="720"/>
        <w:jc w:val="both"/>
      </w:pPr>
      <w:r>
        <w:rPr>
          <w:rFonts w:ascii="Times New Roman" w:cs="Times New Roman" w:eastAsia="Times New Roman" w:hAnsi="Times New Roman"/>
          <w:color w:val="000000"/>
          <w:sz w:val="24"/>
          <w:szCs w:val="24"/>
        </w:rPr>
        <w:t xml:space="preserve">La JEP fue establecida como parte del Sistema Integral de Verdad, Justicia, Reparación y No Repetición (SIVJRNR) tras el Acuerdo de Paz de 2016 con las FARC-EP (JEP, 2021). Su diseño incorpora elementos de justicia restaurativa que contrastan radicalmente con el modelo retributivo de la justicia ordinaria: la pena privativa de la libertad es reemplazada por sanciones propias para quienes reconozcan verdad completa, detallada y exhaustiva (Jurisdicción Especial para la Paz, 2017). El Macrocaso 003 es el más avanzado de los once macrocasos de la JEP, con las primeras resoluciones de conclusiones (2022) y las primeras audiencias públicas de reconocimiento en Colombia.</w:t>
      </w:r>
    </w:p>
    <w:p>
      <w:pPr>
        <w:pStyle w:val="Heading3"/>
        <w:spacing w:after="140" w:before="280"/>
        <w:outlineLvl w:val="2"/>
      </w:pPr>
      <w:r>
        <w:rPr>
          <w:rFonts w:ascii="Times New Roman" w:cs="Times New Roman" w:eastAsia="Times New Roman" w:hAnsi="Times New Roman"/>
          <w:b/>
          <w:bCs/>
          <w:i/>
          <w:iCs/>
          <w:color w:val="000000"/>
          <w:sz w:val="24"/>
          <w:szCs w:val="24"/>
        </w:rPr>
        <w:t xml:space="preserve">2.4.2 Habermas y la colonización sistémica del lenguaje judicial</w:t>
      </w:r>
    </w:p>
    <w:p>
      <w:pPr>
        <w:spacing w:after="200" w:line="360" w:lineRule="auto"/>
        <w:ind w:firstLine="720"/>
        <w:jc w:val="both"/>
      </w:pPr>
      <w:r>
        <w:rPr>
          <w:rFonts w:ascii="Times New Roman" w:cs="Times New Roman" w:eastAsia="Times New Roman" w:hAnsi="Times New Roman"/>
          <w:color w:val="000000"/>
          <w:sz w:val="24"/>
          <w:szCs w:val="24"/>
        </w:rPr>
        <w:t xml:space="preserve">El concepto habermasiano de colonización sistémica del mundo de la vida (Habermas, 1987) es particularmente adecuado para describir el fenómeno de los falsos positivos: el sistema militar-burocrático colonizó el lenguaje con que la sociedad colombiana comprendía y registraba las muertes de civiles, imponiendo su vocabulario técnico-operacional sobre el lenguaje de la experiencia cotidiana de las víctimas. Los eufemismos militares no eran errores de comunicación: eran el mecanismo mediante el cual la lógica del sistema se imponía sobre el mundo de la vida de las familias afectadas.</w:t>
      </w:r>
    </w:p>
    <w:p>
      <w:pPr>
        <w:spacing w:after="200" w:line="360" w:lineRule="auto"/>
        <w:ind w:firstLine="720"/>
        <w:jc w:val="both"/>
      </w:pPr>
      <w:r>
        <w:rPr>
          <w:rFonts w:ascii="Times New Roman" w:cs="Times New Roman" w:eastAsia="Times New Roman" w:hAnsi="Times New Roman"/>
          <w:color w:val="000000"/>
          <w:sz w:val="24"/>
          <w:szCs w:val="24"/>
        </w:rPr>
        <w:t xml:space="preserve">Para la CFH, este marco teórico implica que medir la injusticia discursiva no es solo cuantificar la frecuencia de eufemismos: es medir la distancia entre el lenguaje sistémico del archivo judicial y el lenguaje vivido de las víctimas. Los centroides semánticos de MAFAPO y la CIDH operacionalizan precisamente esa distancia: representan el polo del mundo de la vida de las víctimas y del derecho internacional de los derechos humanos, respectivamente.</w:t>
      </w:r>
    </w:p>
    <w:p>
      <w:pPr>
        <w:pStyle w:val="Heading3"/>
        <w:spacing w:after="140" w:before="280"/>
        <w:outlineLvl w:val="2"/>
      </w:pPr>
      <w:r>
        <w:rPr>
          <w:rFonts w:ascii="Times New Roman" w:cs="Times New Roman" w:eastAsia="Times New Roman" w:hAnsi="Times New Roman"/>
          <w:b/>
          <w:bCs/>
          <w:i/>
          <w:iCs/>
          <w:color w:val="000000"/>
          <w:sz w:val="24"/>
          <w:szCs w:val="24"/>
        </w:rPr>
        <w:t xml:space="preserve">2.4.3 Fraser, Galtung y la justicia restaurativa</w:t>
      </w:r>
    </w:p>
    <w:p>
      <w:pPr>
        <w:spacing w:after="200" w:line="360" w:lineRule="auto"/>
        <w:ind w:firstLine="720"/>
        <w:jc w:val="both"/>
      </w:pPr>
      <w:r>
        <w:rPr>
          <w:rFonts w:ascii="Times New Roman" w:cs="Times New Roman" w:eastAsia="Times New Roman" w:hAnsi="Times New Roman"/>
          <w:color w:val="000000"/>
          <w:sz w:val="24"/>
          <w:szCs w:val="24"/>
        </w:rPr>
        <w:t xml:space="preserve">La dimensión lingüística de la justicia transicional ha sido analizada cualitativamente en varios contextos de posconflicto: las comisiones de verdad de Sudáfrica (Mamdani, 1996), Argentina (Jelin, 2002) y Rwanda (Clark, 2010). En el caso colombiano, el trabajo de Jaramillo (2021) sobre el lenguaje de las audiencias JEP identifica patrones de rehumanización discursiva en las intervenciones de comparecientes que reconocen responsabilidad. Sin embargo, los métodos cualitativos no son escalables al volumen del archivo judicial colombiano.</w:t>
      </w:r>
    </w:p>
    <w:p>
      <w:pPr>
        <w:spacing w:after="200" w:line="360" w:lineRule="auto"/>
        <w:ind w:firstLine="720"/>
        <w:jc w:val="both"/>
      </w:pPr>
      <w:r>
        <w:rPr>
          <w:rFonts w:ascii="Times New Roman" w:cs="Times New Roman" w:eastAsia="Times New Roman" w:hAnsi="Times New Roman"/>
          <w:color w:val="000000"/>
          <w:sz w:val="24"/>
          <w:szCs w:val="24"/>
        </w:rPr>
        <w:t xml:space="preserve">La literatura sobre justicia restaurativa (Zehr, 2002; Braithwaite, 2002) ha identificado el lenguaje como componente central de la reparación simbólica. El reconocimiento verbal de la responsabilidad, el pedido de perdón público y la mención del nombre de la víctima son actos lingüísticos que constituyen —no solo simbolizan— la reparación (Austin, 1962; Searle, 1969). Desde esta perspectiva, la Ruptura Epistémica Positiva (REP) no es un mero cambio de vocabulario: es un acto de reparación discursiva con efectos jurídicos, morales y sociales.</w:t>
      </w:r>
    </w:p>
    <w:p>
      <w:pPr>
        <w:pStyle w:val="Heading3"/>
        <w:spacing w:after="140" w:before="280"/>
        <w:outlineLvl w:val="2"/>
      </w:pPr>
      <w:r>
        <w:rPr>
          <w:rFonts w:ascii="Times New Roman" w:cs="Times New Roman" w:eastAsia="Times New Roman" w:hAnsi="Times New Roman"/>
          <w:b/>
          <w:bCs/>
          <w:i/>
          <w:iCs/>
          <w:color w:val="000000"/>
          <w:sz w:val="24"/>
          <w:szCs w:val="24"/>
        </w:rPr>
        <w:t xml:space="preserve">2.4.4 Justicia transicional computacional: estado del arte global</w:t>
      </w:r>
    </w:p>
    <w:p>
      <w:pPr>
        <w:spacing w:after="200" w:line="360" w:lineRule="auto"/>
        <w:ind w:firstLine="720"/>
        <w:jc w:val="both"/>
      </w:pPr>
      <w:r>
        <w:rPr>
          <w:rFonts w:ascii="Times New Roman" w:cs="Times New Roman" w:eastAsia="Times New Roman" w:hAnsi="Times New Roman"/>
          <w:color w:val="000000"/>
          <w:sz w:val="24"/>
          <w:szCs w:val="24"/>
        </w:rPr>
        <w:t xml:space="preserve">Meyers y Valls-Vargas (2023) aplicaron métodos computacionales de corpus al análisis de la Comisión de la Verdad de Liberia, constituyendo el precedente más directo de análisis computacional de archivos de justicia transicional fuera de Colombia. Impunity Watch (2025) sistematizó el estado global de las aplicaciones de IA en justicia transicional — OSINT, NLP, OCR, análisis espacial y reconstrucción digital — e identificó como brecha principal la ausencia de sistemas multimodales para análisis de audiencias orales. Cann et al. (2025) propusieron el concepto de "eco semántico" para medir la convergencia de comunicaciones estratégicas hacia un corpus de referencia mediante cosine similarity de embeddings — metodología directamente aplicable a la CFH para medir la convergencia del discurso JEP hacia la voz de las víctimas.</w:t>
      </w:r>
    </w:p>
    <w:p>
      <w:pPr>
        <w:spacing w:after="120"/>
      </w:pPr>
      <w:r>
        <w:rPr>
          <w:rFonts w:ascii="Times New Roman" w:cs="Times New Roman" w:eastAsia="Times New Roman" w:hAnsi="Times New Roman"/>
          <w:color w:val="000000"/>
          <w:sz w:val="24"/>
          <w:szCs w:val="24"/>
        </w:rPr>
        <w:t xml:space="preserve"/>
      </w:r>
    </w:p>
    <w:p>
      <w:pPr>
        <w:pStyle w:val="Normal"/>
        <w:jc w:val="both"/>
      </w:pPr>
      <w:r>
        <w:rPr>
          <w:sz w:val="22"/>
        </w:rPr>
        <w:t>La extensión trimodal del framework CFH va más allá de lo que Fricker pudo teorizar, dado que su marco opera sobre el canal verbal-proposicional. El Índice de Congruencia Multimodal (ICM) extiende la injusticia epistémica al dominio multimodal, capturando formas de disonancia entre lo que se dice, cómo se dice y cómo se expresa corporalmente que el análisis verbal por sí solo no puede detectar. El análisis del Corpus C muestra que la injusticia discursiva (DIS) y la injusticia epistémica (IEI) constituyen dimensiones empíricamente independientes —su correlación es baja (ρ=0.164)—, de modo que un discurso puede corregir los mecanismos gramaticales de superficie sin acortar necesariamente la distancia al espacio hermenéutico de las víctimas, o viceversa. Con el fin de enriquecer la medición, se analizaron las intervenciones de los comparecientes más emblemáticos del Macrocaso 003 en distintos subcasos; algunas de estas lecturas por subcaso —como la de Casanare, con un único compareciente— se ofrecen como ilustraciones de versión libre, no como casos representativos de un grupo amplio. Este tipo de disociación está en línea con la observación de Fricker (2017) sobre formas de injusticia epistémica que resisten la categorización fácil.</w:t>
      </w:r>
    </w:p>
    <w:p>
      <w:pPr>
        <w:pStyle w:val="Normal"/>
        <w:jc w:val="both"/>
      </w:pPr>
      <w:r>
        <w:rPr>
          <w:sz w:val="22"/>
        </w:rPr>
        <w:t>El framework CFH llena esta brecha. El Índice de Injusticia Epistémica (IEI) operacionaliza la teoría de Fricker mediante tres componentes complementarios: la distancia semántica al centroide del corpus MAFAPO (y₈) y a los estándares de la CIDH (y₉) —que capturan la injusticia hermenéutica, esto es, la distancia al espacio conceptual que las víctimas construyeron para nombrar su experiencia— y la Negación de Victimización (y₄) —que captura la injusticia testimonial, el déficit de credibilidad impuesto al relato de las víctimas. Este diseño convierte las categorías filosóficas de Fricker en criterios de verificación empírica: un documento con IEI alto es, en una medida cuantificable, semánticamente distante del espacio hermenéutico de las víctimas y reproduce la descalificación de su condición civil. La distinción respecto al Índice de Injusticia Discursiva (DIS) —que agrupa los mecanismos de superficie: eufemismo bélico-institucional, supresión de agentividad y ausencia de reparación— es conceptual y empírica: ambos índices no comparten indicadores y su correlación es baja, lo que confirma que miden dimensiones distintas del daño.</w:t>
      </w:r>
    </w:p>
    <w:p>
      <w:pPr>
        <w:pStyle w:val="Normal"/>
        <w:jc w:val="both"/>
      </w:pPr>
      <w:r>
        <w:rPr>
          <w:sz w:val="22"/>
        </w:rPr>
        <w:t xml:space="preserve">La contribución del estado del arte a la comprensión de este fenómeno ha sido principalmente cualitativa. Los estudios de análisis crítico del discurso (van Dijk, 2008; Wodak, 2009) identifican los mecanismos de la injusticia epistémica en textos específicos pero no la miden a escala. Los trabajos sobre el rol de las organizaciones de víctimas (§2.1.3) documentan cómo el colectivo MAFAPO construyó sus propios recursos hermenéuticos para hacer articulable su experiencia — lo que Fricker llamaría la producción de un hermeneutical resource en respuesta a un gap. Pero ningún trabajo previo ha medido computacionalmente la distancia entre el lenguaje institucional y ese recurso hermenéutico construido por las víctimas.</w:t>
      </w:r>
    </w:p>
    <w:p>
      <w:pPr>
        <w:pStyle w:val="Normal"/>
        <w:jc w:val="both"/>
      </w:pPr>
      <w:r>
        <w:rPr>
          <w:sz w:val="22"/>
        </w:rPr>
        <w:t xml:space="preserve">La teoría de Miranda Fricker (2007) sobre la injusticia epistémica proporciona el marco teórico que completa los tres anteriores — Habermas, Galtung y Fraser — al nombrar el tipo específico de daño que el lenguaje judicial colombiano produce sobre las víctimas en su condición de sujetos epistémicos. Fricker distingue dos formas de injusticia epistémica. La injusticia testimonial ocurre cuando un hablante recibe un déficit de credibilidad por prejuicio de identidad — en el contexto de los falsos positivos, cuando el testimonio de los familiares sobre la condición civil de sus seres queridos fue sistemáticamente descalificado frente al informe militar. La injusticia hermenéutica ocurre cuando los recursos colectivos de interpretación disponibles en el archivo son insuficientes para articular una experiencia significativa — cuando no existía categoría conceptual en el lenguaje jurídico para lo que las madres de los falsos positivos estaban tratando de decir.</w:t>
      </w:r>
    </w:p>
    <w:p>
      <w:pPr>
        <w:pStyle w:val="Heading 3"/>
        <w:jc w:val="both"/>
      </w:pPr>
      <w:r>
        <w:rPr>
          <w:sz w:val="22"/>
        </w:rPr>
        <w:t xml:space="preserve">2.4.4 Fricker y la injusticia epistémica: la brecha hermenéutica en el archivo judicial</w:t>
      </w:r>
    </w:p>
    <w:p>
      <w:pPr>
        <w:pStyle w:val="Heading2"/>
        <w:spacing w:after="180" w:before="360"/>
        <w:outlineLvl w:val="1"/>
      </w:pPr>
      <w:r>
        <w:rPr>
          <w:rFonts w:ascii="Times New Roman" w:cs="Times New Roman" w:eastAsia="Times New Roman" w:hAnsi="Times New Roman"/>
          <w:b/>
          <w:bCs/>
          <w:color w:val="000000"/>
          <w:sz w:val="26"/>
          <w:szCs w:val="26"/>
        </w:rPr>
        <w:t xml:space="preserve">2.5 Frameworks computacionales para la medición de constructos discursivos</w:t>
      </w:r>
    </w:p>
    <w:p>
      <w:pPr>
        <w:pStyle w:val="Heading3"/>
        <w:spacing w:after="140" w:before="280"/>
        <w:outlineLvl w:val="2"/>
      </w:pPr>
      <w:r>
        <w:rPr>
          <w:rFonts w:ascii="Times New Roman" w:cs="Times New Roman" w:eastAsia="Times New Roman" w:hAnsi="Times New Roman"/>
          <w:b/>
          <w:bCs/>
          <w:i/>
          <w:iCs/>
          <w:color w:val="000000"/>
          <w:sz w:val="24"/>
          <w:szCs w:val="24"/>
        </w:rPr>
        <w:t xml:space="preserve">2.5.1 Del SEM al framework de tres capas</w:t>
      </w:r>
    </w:p>
    <w:p>
      <w:pPr>
        <w:spacing w:after="200" w:line="360" w:lineRule="auto"/>
        <w:ind w:firstLine="720"/>
        <w:jc w:val="both"/>
      </w:pPr>
      <w:r>
        <w:rPr>
          <w:rFonts w:ascii="Times New Roman" w:cs="Times New Roman" w:eastAsia="Times New Roman" w:hAnsi="Times New Roman"/>
          <w:color w:val="000000"/>
          <w:sz w:val="24"/>
          <w:szCs w:val="24"/>
        </w:rPr>
        <w:t xml:space="preserve">Los modelos de ecuaciones estructurales (SEM) son una familia de métodos estadísticos que permiten estimar relaciones entre variables latentes a partir de indicadores observables (Kline, 2023). En el diseño original de la CFH, el SEM era el marco estadístico central. La revisión de la literatura y los resultados del análisis exploratorio revelaron que un framework de tres capas —léxico, semántico y multimodal— captura mejor la complejidad del fenómeno, dado que cada capa requiere métodos estadísticos distintos y produce observaciones en escalas temporales diferentes.</w:t>
      </w:r>
    </w:p>
    <w:p>
      <w:pPr>
        <w:pStyle w:val="Heading3"/>
        <w:spacing w:after="140" w:before="280"/>
        <w:outlineLvl w:val="2"/>
      </w:pPr>
      <w:r>
        <w:rPr>
          <w:rFonts w:ascii="Times New Roman" w:cs="Times New Roman" w:eastAsia="Times New Roman" w:hAnsi="Times New Roman"/>
          <w:b/>
          <w:bCs/>
          <w:i/>
          <w:iCs/>
          <w:color w:val="000000"/>
          <w:sz w:val="24"/>
          <w:szCs w:val="24"/>
        </w:rPr>
        <w:t xml:space="preserve">2.5.2 Embeddings como indicadores de constructos latentes</w:t>
      </w:r>
    </w:p>
    <w:p>
      <w:pPr>
        <w:spacing w:after="200" w:line="360" w:lineRule="auto"/>
        <w:ind w:firstLine="720"/>
        <w:jc w:val="both"/>
      </w:pPr>
      <w:r>
        <w:rPr>
          <w:rFonts w:ascii="Times New Roman" w:cs="Times New Roman" w:eastAsia="Times New Roman" w:hAnsi="Times New Roman"/>
          <w:color w:val="000000"/>
          <w:sz w:val="24"/>
          <w:szCs w:val="24"/>
        </w:rPr>
        <w:t xml:space="preserve">Kozlowski et al. (2019) utilizaron embeddings de palabras para medir dimensiones culturales latentes en corpus históricos de prensa, demostrando que los espacios vectoriales capturan no solo significados léxicos sino también estructuras ideológicas. Garg et al. (2018) aplicaron un enfoque similar para medir el cambio en estereotipos de género y etnicidad en corpus históricos. Cann et al. (2025) extendieron esta lógica al análisis de la convergencia temporal de discursos estratégicos. Estos trabajos establecen el precedente metodológico para el uso de embeddings de ConfliBERT-Spanish como indicadores de la distancia semántica al polo MAFAPO/CIDH en la Capa 2 de la CFH.</w:t>
      </w:r>
    </w:p>
    <w:p>
      <w:pPr>
        <w:pStyle w:val="Heading3"/>
        <w:spacing w:after="140" w:before="280"/>
        <w:outlineLvl w:val="2"/>
      </w:pPr>
      <w:r>
        <w:rPr>
          <w:rFonts w:ascii="Times New Roman" w:cs="Times New Roman" w:eastAsia="Times New Roman" w:hAnsi="Times New Roman"/>
          <w:b/>
          <w:bCs/>
          <w:i/>
          <w:iCs/>
          <w:color w:val="000000"/>
          <w:sz w:val="24"/>
          <w:szCs w:val="24"/>
        </w:rPr>
        <w:t xml:space="preserve">2.5.3 PLS-SEM y Bayesian SEM para muestras pequeñas</w:t>
      </w:r>
    </w:p>
    <w:p>
      <w:pPr>
        <w:spacing w:after="200" w:line="360" w:lineRule="auto"/>
        <w:ind w:firstLine="720"/>
        <w:jc w:val="both"/>
      </w:pPr>
      <w:r>
        <w:rPr>
          <w:rFonts w:ascii="Times New Roman" w:cs="Times New Roman" w:eastAsia="Times New Roman" w:hAnsi="Times New Roman"/>
          <w:color w:val="000000"/>
          <w:sz w:val="24"/>
          <w:szCs w:val="24"/>
        </w:rPr>
        <w:t xml:space="preserve">El análisis de senderos (path analysis) y el PLS-SEM son alternativas al SEM convencional adecuadas cuando el tamaño de muestra es limitado — como en el caso del Corpus C con ~50-100 segmentos por audiencia. Hair et al. (2019) establecen que el PLS-SEM es preferible al CB-SEM cuando N&lt;200 y los constructos son formativos. El Bayesian SEM con priors informativos (van de Schoot et al., 2021) es otra alternativa que permite incorporar conocimiento previo sobre los parámetros — relevante para la CFH dado que los resultados del análisis textual pueden informar los priors del modelo multimodal.</w:t>
      </w:r>
    </w:p>
    <w:p>
      <w:pPr>
        <w:pStyle w:val="Heading3"/>
        <w:spacing w:after="140" w:before="280"/>
        <w:outlineLvl w:val="2"/>
      </w:pPr>
      <w:r>
        <w:rPr>
          <w:rFonts w:ascii="Times New Roman" w:cs="Times New Roman" w:eastAsia="Times New Roman" w:hAnsi="Times New Roman"/>
          <w:b/>
          <w:bCs/>
          <w:i/>
          <w:iCs/>
          <w:color w:val="000000"/>
          <w:sz w:val="24"/>
          <w:szCs w:val="24"/>
        </w:rPr>
        <w:t xml:space="preserve">2.5.4 Síntesis: la brecha que llena la CFH</w:t>
      </w:r>
    </w:p>
    <w:p>
      <w:pPr>
        <w:spacing w:after="200" w:line="360" w:lineRule="auto"/>
        <w:ind w:firstLine="720"/>
        <w:jc w:val="both"/>
      </w:pPr>
      <w:r>
        <w:rPr>
          <w:rFonts w:ascii="Times New Roman" w:cs="Times New Roman" w:eastAsia="Times New Roman" w:hAnsi="Times New Roman"/>
          <w:color w:val="000000"/>
          <w:sz w:val="24"/>
          <w:szCs w:val="24"/>
        </w:rPr>
        <w:t xml:space="preserve">La revisión de la literatura permite identificar con precisión la contribución original de esta investigación. Existe un cuerpo robusto de documentación sobre el fenómeno de los falsos positivos (§2.1), un campo en desarrollo del Legal NLP con el antecedente directo de Gutiérrez-Osorio et al. (2025) en el Macrocaso 003 (§2.2), un campo emergente de análisis multimodal forense con LegalEye y SinA-C como herramientas de referencia (§2.3), una tradición de análisis discursivo de la justicia transicional con Habermas como nuevo fundamento teórico (§2.4), y herramientas estadísticas para modelar constructos discursivos (§2.5).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Área</w:t>
            </w:r>
          </w:p>
        </w:tc>
        <w:tc>
          <w:tcPr>
            <w:tcW w:type="dxa" w:w="3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Lo que existe</w:t>
            </w:r>
          </w:p>
        </w:tc>
        <w:tc>
          <w:tcPr>
            <w:tcW w:type="dxa" w:w="34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Lo que aporta la CFH</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NLP en Macrocaso 003</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Gutiérrez-Osorio (2025): sentimiento y clusters temáticos</w:t>
            </w:r>
          </w:p>
        </w:tc>
        <w:tc>
          <w:tcPr>
            <w:tcW w:type="dxa" w:w="3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Mecanismos de violencia discursiva + comparación A vs B vs C + multimodal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Análisis multimodal forense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LegalEye: deception en juicios. SinA-C: sinceridad prosódica</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ICM: congruencia verbal/vocal/facial en reconocimiento de justicia transicional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Justicia transicional computacional</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Meyers (2023): Liberia. Impunity Watch (2025): mapeo global</w:t>
            </w:r>
          </w:p>
        </w:tc>
        <w:tc>
          <w:tcPr>
            <w:tcW w:type="dxa" w:w="3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Framework replicable con índice de injusticia discursiva validado</w:t>
            </w:r>
          </w:p>
        </w:tc>
      </w:tr>
      <w:tr>
        <w:tc>
          <w:p>
            <w:r>
              <w:t>Injusticia epistémica operacionalizada</w:t>
            </w:r>
          </w:p>
        </w:tc>
        <w:tc>
          <w:p>
            <w:r>
              <w:t>Dryzek y Niemeyer (2024): DRI por encuesta deliberativa</w:t>
            </w:r>
          </w:p>
        </w:tc>
        <w:tc>
          <w:p>
            <w:r>
              <w:t>CFH: embeddings sobre archivo judicial + centroides MAFAPO como polo normativo de las víctimas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ConfliBERT en Colombia</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Solo Gutiérrez-Osorio (2025): análisis textual básico</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Pipeline completo: embeddings + distancias MAFAPO/CIDH + ICM</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2.1. Posicionamiento de la CFH respecto al estado del arte.</w:t>
      </w:r>
    </w:p>
    <w:p>
      <w:pPr>
        <w:spacing w:after="120"/>
      </w:pPr>
      <w:r>
        <w:rPr>
          <w:rFonts w:ascii="Times New Roman" w:cs="Times New Roman" w:eastAsia="Times New Roman" w:hAnsi="Times New Roman"/>
          <w:color w:val="000000"/>
          <w:sz w:val="24"/>
          <w:szCs w:val="24"/>
        </w:rPr>
        <w:t xml:space="preserve"/>
      </w:r>
    </w:p>
    <w:p>
      <w:pPr>
        <w:spacing w:after="200" w:before="480"/>
      </w:pPr>
      <w:r>
        <w:rPr>
          <w:rFonts w:ascii="Times New Roman" w:cs="Times New Roman" w:eastAsia="Times New Roman" w:hAnsi="Times New Roman"/>
          <w:b/>
          <w:bCs/>
          <w:color w:val="000000"/>
          <w:sz w:val="22"/>
          <w:szCs w:val="22"/>
        </w:rPr>
        <w:t xml:space="preserve">Referencias del capítulo</w:t>
      </w:r>
    </w:p>
    <w:p>
      <w:pPr>
        <w:spacing w:after="120"/>
        <w:ind w:left="720" w:hanging="720"/>
        <w:jc w:val="both"/>
      </w:pPr>
      <w:r>
        <w:rPr>
          <w:rFonts w:ascii="Times New Roman" w:cs="Times New Roman" w:eastAsia="Times New Roman" w:hAnsi="Times New Roman"/>
          <w:color w:val="000000"/>
          <w:sz w:val="20"/>
          <w:szCs w:val="20"/>
        </w:rPr>
        <w:t xml:space="preserve">Austin, J. L. (1962). How to Do Things with Words. Oxford University Press.</w:t>
      </w:r>
    </w:p>
    <w:p>
      <w:pPr>
        <w:spacing w:after="120"/>
        <w:ind w:left="720" w:hanging="720"/>
        <w:jc w:val="both"/>
      </w:pPr>
      <w:r>
        <w:rPr>
          <w:rFonts w:ascii="Times New Roman" w:cs="Times New Roman" w:eastAsia="Times New Roman" w:hAnsi="Times New Roman"/>
          <w:color w:val="000000"/>
          <w:sz w:val="20"/>
          <w:szCs w:val="20"/>
        </w:rPr>
        <w:t xml:space="preserve">Baird, A. y Coutinho, E. (2019). Sincerity in Acted Speech: The Sincere Apology Corpus (SinA-C). INTERSPEECH 2019.</w:t>
      </w:r>
    </w:p>
    <w:p>
      <w:pPr>
        <w:spacing w:after="120"/>
        <w:ind w:left="720" w:hanging="720"/>
        <w:jc w:val="both"/>
      </w:pPr>
      <w:r>
        <w:rPr>
          <w:rFonts w:ascii="Times New Roman" w:cs="Times New Roman" w:eastAsia="Times New Roman" w:hAnsi="Times New Roman"/>
          <w:color w:val="000000"/>
          <w:sz w:val="20"/>
          <w:szCs w:val="20"/>
        </w:rPr>
        <w:t xml:space="preserve">Baldivas, R. I. A., Sreenivasan, N., Kang, S. Y., Miller, A. M.-L., Chacko, M., Krishnan, S., Ayala, C., Ayala, E., y Kim, D. (2025). LegalEye: Multimodal Court Deception Detection Across Multiple Languages. Behavioral Sciences, 15(12), 1707. DOI: 10.3390/bs15121707</w:t>
      </w:r>
    </w:p>
    <w:p>
      <w:pPr>
        <w:spacing w:after="120"/>
        <w:ind w:left="720" w:hanging="720"/>
        <w:jc w:val="both"/>
      </w:pPr>
      <w:r>
        <w:rPr>
          <w:rFonts w:ascii="Times New Roman" w:cs="Times New Roman" w:eastAsia="Times New Roman" w:hAnsi="Times New Roman"/>
          <w:color w:val="000000"/>
          <w:sz w:val="20"/>
          <w:szCs w:val="20"/>
        </w:rPr>
        <w:t xml:space="preserve">Baltrusaitis, T., et al. (2025). OpenFace 3.0: A Lightweight Multitask System for Comprehensive Facial Behavior Analysis. arXiv:2506.02891.</w:t>
      </w:r>
    </w:p>
    <w:p>
      <w:pPr>
        <w:spacing w:after="120"/>
        <w:ind w:left="720" w:hanging="720"/>
        <w:jc w:val="both"/>
      </w:pPr>
      <w:r>
        <w:rPr>
          <w:rFonts w:ascii="Times New Roman" w:cs="Times New Roman" w:eastAsia="Times New Roman" w:hAnsi="Times New Roman"/>
          <w:color w:val="000000"/>
          <w:sz w:val="20"/>
          <w:szCs w:val="20"/>
        </w:rPr>
        <w:t xml:space="preserve">Braithwaite, J. (2002). Restorative Justice and Responsive Regulation. Oxford University Press.</w:t>
      </w:r>
    </w:p>
    <w:p>
      <w:pPr>
        <w:spacing w:after="120"/>
        <w:ind w:left="720" w:hanging="720"/>
        <w:jc w:val="both"/>
      </w:pPr>
      <w:r>
        <w:rPr>
          <w:rFonts w:ascii="Times New Roman" w:cs="Times New Roman" w:eastAsia="Times New Roman" w:hAnsi="Times New Roman"/>
          <w:color w:val="000000"/>
          <w:sz w:val="20"/>
          <w:szCs w:val="20"/>
        </w:rPr>
        <w:t xml:space="preserve">Cañete, J., Chaperon, G., Fuentes, R., Ho, J., Kang, H., y Pérez, J. (2020). Spanish pre-trained BERT model and evaluation data. PML4DC at ICLR 2020.</w:t>
      </w:r>
    </w:p>
    <w:p>
      <w:pPr>
        <w:spacing w:after="120"/>
        <w:ind w:left="720" w:hanging="720"/>
        <w:jc w:val="both"/>
      </w:pPr>
      <w:r>
        <w:rPr>
          <w:rFonts w:ascii="Times New Roman" w:cs="Times New Roman" w:eastAsia="Times New Roman" w:hAnsi="Times New Roman"/>
          <w:color w:val="000000"/>
          <w:sz w:val="20"/>
          <w:szCs w:val="20"/>
        </w:rPr>
        <w:t xml:space="preserve">Cann, T., et al. (2025). Semantic Echo. EPJ Data Science, Springer.</w:t>
      </w:r>
    </w:p>
    <w:p>
      <w:pPr>
        <w:spacing w:after="120"/>
        <w:ind w:left="720" w:hanging="720"/>
        <w:jc w:val="both"/>
      </w:pPr>
      <w:r>
        <w:rPr>
          <w:rFonts w:ascii="Times New Roman" w:cs="Times New Roman" w:eastAsia="Times New Roman" w:hAnsi="Times New Roman"/>
          <w:color w:val="000000"/>
          <w:sz w:val="20"/>
          <w:szCs w:val="20"/>
        </w:rPr>
        <w:t xml:space="preserve">Cepeda Castro, I. y Rojas, J. (2008). A las puertas de El Ubérrimo. Debate.</w:t>
      </w:r>
    </w:p>
    <w:p>
      <w:pPr>
        <w:spacing w:after="120"/>
        <w:ind w:left="720" w:hanging="720"/>
        <w:jc w:val="both"/>
      </w:pPr>
      <w:r>
        <w:rPr>
          <w:rFonts w:ascii="Times New Roman" w:cs="Times New Roman" w:eastAsia="Times New Roman" w:hAnsi="Times New Roman"/>
          <w:color w:val="000000"/>
          <w:sz w:val="20"/>
          <w:szCs w:val="20"/>
        </w:rPr>
        <w:t xml:space="preserve">Chalkidis, I., Garneau, N., Cao, Y., Huang, Z., Stathis, T., Thavarajah, J., y Goldfarb, D. (2023). LexFiles and LegalLAMA. ACL 2023, 15, 6228–6244.</w:t>
      </w:r>
    </w:p>
    <w:p>
      <w:pPr>
        <w:spacing w:after="120"/>
        <w:ind w:left="720" w:hanging="720"/>
        <w:jc w:val="both"/>
      </w:pPr>
      <w:r>
        <w:rPr>
          <w:rFonts w:ascii="Times New Roman" w:cs="Times New Roman" w:eastAsia="Times New Roman" w:hAnsi="Times New Roman"/>
          <w:color w:val="000000"/>
          <w:sz w:val="20"/>
          <w:szCs w:val="20"/>
        </w:rPr>
        <w:t xml:space="preserve">CINEP/Programa por la Paz. (2020). Banco de datos de derechos humanos y violencia política. CINEP.</w:t>
      </w:r>
    </w:p>
    <w:p>
      <w:pPr>
        <w:spacing w:after="120"/>
        <w:ind w:left="720" w:hanging="720"/>
        <w:jc w:val="both"/>
      </w:pPr>
      <w:r>
        <w:rPr>
          <w:rFonts w:ascii="Times New Roman" w:cs="Times New Roman" w:eastAsia="Times New Roman" w:hAnsi="Times New Roman"/>
          <w:color w:val="000000"/>
          <w:sz w:val="20"/>
          <w:szCs w:val="20"/>
        </w:rPr>
        <w:t xml:space="preserve">Clark, P. (2010). The Gacaca Courts, Post-Genocide Justice and Reconciliation in Rwanda. Cambridge University Press.</w:t>
      </w:r>
    </w:p>
    <w:p>
      <w:pPr>
        <w:spacing w:after="120"/>
        <w:ind w:left="720" w:hanging="720"/>
        <w:jc w:val="both"/>
      </w:pPr>
      <w:r>
        <w:rPr>
          <w:rFonts w:ascii="Times New Roman" w:cs="Times New Roman" w:eastAsia="Times New Roman" w:hAnsi="Times New Roman"/>
          <w:color w:val="000000"/>
          <w:sz w:val="20"/>
          <w:szCs w:val="20"/>
        </w:rPr>
        <w:t xml:space="preserve">CNMH — Centro Nacional de Memoria Histórica. (2019). Mujeres y madres: Memorias de los falsos positivos. CNMH.</w:t>
      </w:r>
    </w:p>
    <w:p>
      <w:pPr>
        <w:spacing w:after="120"/>
        <w:ind w:left="720" w:hanging="720"/>
        <w:jc w:val="both"/>
      </w:pPr>
      <w:r>
        <w:rPr>
          <w:rFonts w:ascii="Times New Roman" w:cs="Times New Roman" w:eastAsia="Times New Roman" w:hAnsi="Times New Roman"/>
          <w:color w:val="000000"/>
          <w:sz w:val="20"/>
          <w:szCs w:val="20"/>
        </w:rPr>
        <w:t xml:space="preserve">Comisión de la Verdad. (2022). Hay futuro si hay verdad: informe final. CEV.</w:t>
      </w:r>
    </w:p>
    <w:p>
      <w:pPr>
        <w:spacing w:after="120"/>
        <w:ind w:left="720" w:hanging="720"/>
        <w:jc w:val="both"/>
      </w:pPr>
      <w:r>
        <w:rPr>
          <w:rFonts w:ascii="Times New Roman" w:cs="Times New Roman" w:eastAsia="Times New Roman" w:hAnsi="Times New Roman"/>
          <w:color w:val="000000"/>
          <w:sz w:val="20"/>
          <w:szCs w:val="20"/>
        </w:rPr>
        <w:t xml:space="preserve">Garg, N., Schiebinger, L., Jurafsky, D., y Zou, J. (2018). Word embeddings quantify 100 years of gender and ethnic stereotypes. PNAS, 115(16), E3635–E3644.</w:t>
      </w:r>
    </w:p>
    <w:p>
      <w:pPr>
        <w:spacing w:after="120"/>
        <w:ind w:left="720" w:hanging="720"/>
        <w:jc w:val="both"/>
      </w:pPr>
      <w:r>
        <w:rPr>
          <w:rFonts w:ascii="Times New Roman" w:cs="Times New Roman" w:eastAsia="Times New Roman" w:hAnsi="Times New Roman"/>
          <w:color w:val="000000"/>
          <w:sz w:val="20"/>
          <w:szCs w:val="20"/>
        </w:rPr>
        <w:t xml:space="preserve">Gutiérrez-Osorio, C., et al. (2025). Construyendo la verdad: minería de texto y redes lingüísticas en audiencias públicas del Caso 03 de la JEP. arXiv:2504.04325.</w:t>
      </w:r>
    </w:p>
    <w:p>
      <w:pPr>
        <w:spacing w:after="120"/>
        <w:ind w:left="720" w:hanging="720"/>
        <w:jc w:val="both"/>
      </w:pPr>
      <w:r>
        <w:rPr>
          <w:rFonts w:ascii="Times New Roman" w:cs="Times New Roman" w:eastAsia="Times New Roman" w:hAnsi="Times New Roman"/>
          <w:color w:val="000000"/>
          <w:sz w:val="20"/>
          <w:szCs w:val="20"/>
        </w:rPr>
        <w:t xml:space="preserve">Habermas, J. (1987). The Theory of Communicative Action, Vol. 2: Lifeworld and System. Beacon Press.</w:t>
      </w:r>
    </w:p>
    <w:p>
      <w:pPr>
        <w:spacing w:after="120"/>
        <w:ind w:left="720" w:hanging="720"/>
        <w:jc w:val="both"/>
      </w:pPr>
      <w:r>
        <w:rPr>
          <w:rFonts w:ascii="Times New Roman" w:cs="Times New Roman" w:eastAsia="Times New Roman" w:hAnsi="Times New Roman"/>
          <w:color w:val="000000"/>
          <w:sz w:val="20"/>
          <w:szCs w:val="20"/>
        </w:rPr>
        <w:t xml:space="preserve">Hair, J. F., Risher, J. J., Sarstedt, M., y Ringle, C. M. (2019). When to use and how to report results of PLS-SEM. European Business Review, 31(1), 2–24.</w:t>
      </w:r>
    </w:p>
    <w:p>
      <w:pPr>
        <w:spacing w:after="120"/>
        <w:ind w:left="720" w:hanging="720"/>
        <w:jc w:val="both"/>
      </w:pPr>
      <w:r>
        <w:rPr>
          <w:rFonts w:ascii="Times New Roman" w:cs="Times New Roman" w:eastAsia="Times New Roman" w:hAnsi="Times New Roman"/>
          <w:color w:val="000000"/>
          <w:sz w:val="20"/>
          <w:szCs w:val="20"/>
        </w:rPr>
        <w:t xml:space="preserve">Human Rights Watch. (2015). El rol de los altos mandos en los falsos positivos. HRW.</w:t>
      </w:r>
    </w:p>
    <w:p>
      <w:pPr>
        <w:spacing w:after="120"/>
        <w:ind w:left="720" w:hanging="720"/>
        <w:jc w:val="both"/>
      </w:pPr>
      <w:r>
        <w:rPr>
          <w:rFonts w:ascii="Times New Roman" w:cs="Times New Roman" w:eastAsia="Times New Roman" w:hAnsi="Times New Roman"/>
          <w:color w:val="000000"/>
          <w:sz w:val="20"/>
          <w:szCs w:val="20"/>
        </w:rPr>
        <w:t xml:space="preserve">Human Rights Watch. (2020). Colombia: Un cuarto de siglo de reformas fallidas en los derechos humanos. HRW.</w:t>
      </w:r>
    </w:p>
    <w:p>
      <w:pPr>
        <w:spacing w:after="120"/>
        <w:ind w:left="720" w:hanging="720"/>
        <w:jc w:val="both"/>
      </w:pPr>
      <w:r>
        <w:rPr>
          <w:rFonts w:ascii="Times New Roman" w:cs="Times New Roman" w:eastAsia="Times New Roman" w:hAnsi="Times New Roman"/>
          <w:color w:val="000000"/>
          <w:sz w:val="20"/>
          <w:szCs w:val="20"/>
        </w:rPr>
        <w:t xml:space="preserve">ICC — International Criminal Court. (2020). Colombia: Preliminary examination. ICC Office of the Prosecutor.</w:t>
      </w:r>
    </w:p>
    <w:p>
      <w:pPr>
        <w:spacing w:after="120"/>
        <w:ind w:left="720" w:hanging="720"/>
        <w:jc w:val="both"/>
      </w:pPr>
      <w:r>
        <w:rPr>
          <w:rFonts w:ascii="Times New Roman" w:cs="Times New Roman" w:eastAsia="Times New Roman" w:hAnsi="Times New Roman"/>
          <w:color w:val="000000"/>
          <w:sz w:val="20"/>
          <w:szCs w:val="20"/>
        </w:rPr>
        <w:t xml:space="preserve">Impunity Watch. (2025). AI and Transitional Justice: Mapping Report.</w:t>
      </w:r>
    </w:p>
    <w:p>
      <w:pPr>
        <w:spacing w:after="120"/>
        <w:ind w:left="720" w:hanging="720"/>
        <w:jc w:val="both"/>
      </w:pPr>
      <w:r>
        <w:rPr>
          <w:rFonts w:ascii="Times New Roman" w:cs="Times New Roman" w:eastAsia="Times New Roman" w:hAnsi="Times New Roman"/>
          <w:color w:val="000000"/>
          <w:sz w:val="20"/>
          <w:szCs w:val="20"/>
        </w:rPr>
        <w:t xml:space="preserve">Jaramillo, J. (2021). El lenguaje de la verdad: análisis discursivo de las audiencias JEP del Macrocaso 003. Tesis de maestría, Universidad de los Andes.</w:t>
      </w:r>
    </w:p>
    <w:p>
      <w:pPr>
        <w:spacing w:after="120"/>
        <w:ind w:left="720" w:hanging="720"/>
        <w:jc w:val="both"/>
      </w:pPr>
      <w:r>
        <w:rPr>
          <w:rFonts w:ascii="Times New Roman" w:cs="Times New Roman" w:eastAsia="Times New Roman" w:hAnsi="Times New Roman"/>
          <w:color w:val="000000"/>
          <w:sz w:val="20"/>
          <w:szCs w:val="20"/>
        </w:rPr>
        <w:t xml:space="preserve">Jelin, E. (2002). Los trabajos de la memoria. Siglo XXI.</w:t>
      </w:r>
    </w:p>
    <w:p>
      <w:pPr>
        <w:spacing w:after="120"/>
        <w:ind w:left="720" w:hanging="720"/>
        <w:jc w:val="both"/>
      </w:pPr>
      <w:r>
        <w:rPr>
          <w:rFonts w:ascii="Times New Roman" w:cs="Times New Roman" w:eastAsia="Times New Roman" w:hAnsi="Times New Roman"/>
          <w:color w:val="000000"/>
          <w:sz w:val="20"/>
          <w:szCs w:val="20"/>
        </w:rPr>
        <w:t xml:space="preserve">JEP — Jurisdicción Especial para la Paz. (2021). Auto No. 125 de 2021 — Caso 03.</w:t>
      </w:r>
    </w:p>
    <w:p>
      <w:pPr>
        <w:spacing w:after="120"/>
        <w:ind w:left="720" w:hanging="720"/>
        <w:jc w:val="both"/>
      </w:pPr>
      <w:r>
        <w:rPr>
          <w:rFonts w:ascii="Times New Roman" w:cs="Times New Roman" w:eastAsia="Times New Roman" w:hAnsi="Times New Roman"/>
          <w:color w:val="000000"/>
          <w:sz w:val="20"/>
          <w:szCs w:val="20"/>
        </w:rPr>
        <w:t xml:space="preserve">JEP — Jurisdicción Especial para la Paz. (2022). Resolución de Conclusiones No. 01 de 2022 — Caso 03.</w:t>
      </w:r>
    </w:p>
    <w:p>
      <w:pPr>
        <w:spacing w:after="120"/>
        <w:ind w:left="720" w:hanging="720"/>
        <w:jc w:val="both"/>
      </w:pPr>
      <w:r>
        <w:rPr>
          <w:rFonts w:ascii="Times New Roman" w:cs="Times New Roman" w:eastAsia="Times New Roman" w:hAnsi="Times New Roman"/>
          <w:color w:val="000000"/>
          <w:sz w:val="20"/>
          <w:szCs w:val="20"/>
        </w:rPr>
        <w:t xml:space="preserve">Kline, R. B. (2023). Principles and Practice of Structural Equation Modeling (5.ª ed.). Guilford Press.</w:t>
      </w:r>
    </w:p>
    <w:p>
      <w:pPr>
        <w:spacing w:after="120"/>
        <w:ind w:left="720" w:hanging="720"/>
        <w:jc w:val="both"/>
      </w:pPr>
      <w:r>
        <w:rPr>
          <w:rFonts w:ascii="Times New Roman" w:cs="Times New Roman" w:eastAsia="Times New Roman" w:hAnsi="Times New Roman"/>
          <w:color w:val="000000"/>
          <w:sz w:val="20"/>
          <w:szCs w:val="20"/>
        </w:rPr>
        <w:t xml:space="preserve">Kozlowski, A. C., Taddy, M., y Evans, J. A. (2019). The geometry of culture: Analyzing the meanings of class through word embeddings. American Sociological Review, 84(5), 905–949.</w:t>
      </w:r>
    </w:p>
    <w:p>
      <w:pPr>
        <w:spacing w:after="120"/>
        <w:ind w:left="720" w:hanging="720"/>
        <w:jc w:val="both"/>
      </w:pPr>
      <w:r>
        <w:rPr>
          <w:rFonts w:ascii="Times New Roman" w:cs="Times New Roman" w:eastAsia="Times New Roman" w:hAnsi="Times New Roman"/>
          <w:color w:val="000000"/>
          <w:sz w:val="20"/>
          <w:szCs w:val="20"/>
        </w:rPr>
        <w:t xml:space="preserve">Lippi, M. y Torroni, P. (2016). Argumentation mining: State of the art and emerging trends. ACM Transactions on Internet Technology, 16(2), 1–25.</w:t>
      </w:r>
    </w:p>
    <w:p>
      <w:pPr>
        <w:spacing w:after="120"/>
        <w:ind w:left="720" w:hanging="720"/>
        <w:jc w:val="both"/>
      </w:pPr>
      <w:r>
        <w:rPr>
          <w:rFonts w:ascii="Times New Roman" w:cs="Times New Roman" w:eastAsia="Times New Roman" w:hAnsi="Times New Roman"/>
          <w:color w:val="000000"/>
          <w:sz w:val="20"/>
          <w:szCs w:val="20"/>
        </w:rPr>
        <w:t xml:space="preserve">Goupil, L., Ponsot, E., Richardson, D., Reyes, G., y Aucouturier, J.-J. (2021). Listeners' perceptions of certainty and honesty are associated with a common prosodic signature. Nature Communications, 12, 861. DOI: 10.1038/s41467-021-21516-2</w:t>
      </w:r>
    </w:p>
    <w:p>
      <w:pPr>
        <w:spacing w:after="120"/>
        <w:ind w:left="720" w:hanging="720"/>
        <w:jc w:val="both"/>
      </w:pPr>
      <w:r>
        <w:rPr>
          <w:rFonts w:ascii="Times New Roman" w:cs="Times New Roman" w:eastAsia="Times New Roman" w:hAnsi="Times New Roman"/>
          <w:color w:val="000000"/>
          <w:sz w:val="20"/>
          <w:szCs w:val="20"/>
        </w:rPr>
        <w:t xml:space="preserve">Mamdani, M. (1996). Reconciliation without Justice. Southern African Review of Books.</w:t>
      </w:r>
    </w:p>
    <w:p>
      <w:pPr>
        <w:spacing w:after="120"/>
        <w:ind w:left="720" w:hanging="720"/>
        <w:jc w:val="both"/>
      </w:pPr>
      <w:r>
        <w:rPr>
          <w:rFonts w:ascii="Times New Roman" w:cs="Times New Roman" w:eastAsia="Times New Roman" w:hAnsi="Times New Roman"/>
          <w:color w:val="000000"/>
          <w:sz w:val="20"/>
          <w:szCs w:val="20"/>
        </w:rPr>
        <w:t xml:space="preserve">Meyers, J. y Valls-Vargas, J. (2023). The Language of Inclusion: Critical Corpus-Based Methods in Liberia's Truth Commission. Social Justice Research, Springer.</w:t>
      </w:r>
    </w:p>
    <w:p>
      <w:pPr>
        <w:spacing w:after="120"/>
        <w:ind w:left="720" w:hanging="720"/>
        <w:jc w:val="both"/>
      </w:pPr>
      <w:r>
        <w:rPr>
          <w:rFonts w:ascii="Times New Roman" w:cs="Times New Roman" w:eastAsia="Times New Roman" w:hAnsi="Times New Roman"/>
          <w:color w:val="000000"/>
          <w:sz w:val="20"/>
          <w:szCs w:val="20"/>
        </w:rPr>
        <w:t xml:space="preserve">OACNUDH. (2010). Informe del Relator Especial sobre ejecuciones extrajudiciales: misión a Colombia. A/HRC/14/24/Add.2.</w:t>
      </w:r>
    </w:p>
    <w:p>
      <w:pPr>
        <w:spacing w:after="120"/>
        <w:ind w:left="720" w:hanging="720"/>
        <w:jc w:val="both"/>
      </w:pPr>
      <w:r>
        <w:rPr>
          <w:rFonts w:ascii="Times New Roman" w:cs="Times New Roman" w:eastAsia="Times New Roman" w:hAnsi="Times New Roman"/>
          <w:color w:val="000000"/>
          <w:sz w:val="20"/>
          <w:szCs w:val="20"/>
        </w:rPr>
        <w:t xml:space="preserve">Pérez-Rosas, V., Abouelenien, M., Mihalcea, R., et al. (2015). Verbal and Nonverbal Clues for Real-life Deception Detection. EMNLP 2015.</w:t>
      </w:r>
    </w:p>
    <w:p>
      <w:pPr>
        <w:spacing w:after="120"/>
        <w:ind w:left="720" w:hanging="720"/>
        <w:jc w:val="both"/>
      </w:pPr>
      <w:r>
        <w:rPr>
          <w:rFonts w:ascii="Times New Roman" w:cs="Times New Roman" w:eastAsia="Times New Roman" w:hAnsi="Times New Roman"/>
          <w:color w:val="000000"/>
          <w:sz w:val="20"/>
          <w:szCs w:val="20"/>
        </w:rPr>
        <w:t xml:space="preserve">Scientific Reports. (2024). The nonverbal expression of guilt in healthy adults. Nature, vol. 14, art. 10607.</w:t>
      </w:r>
    </w:p>
    <w:p>
      <w:pPr>
        <w:spacing w:after="120"/>
        <w:ind w:left="720" w:hanging="720"/>
        <w:jc w:val="both"/>
      </w:pPr>
      <w:r>
        <w:rPr>
          <w:rFonts w:ascii="Times New Roman" w:cs="Times New Roman" w:eastAsia="Times New Roman" w:hAnsi="Times New Roman"/>
          <w:color w:val="000000"/>
          <w:sz w:val="20"/>
          <w:szCs w:val="20"/>
        </w:rPr>
        <w:t xml:space="preserve">van de Schoot, R., et al. (2021). Bayesian statistics and modelling. Nature Reviews Methods Primers.</w:t>
      </w:r>
    </w:p>
    <w:p>
      <w:pPr>
        <w:spacing w:after="120"/>
        <w:ind w:left="720" w:hanging="720"/>
        <w:jc w:val="both"/>
      </w:pPr>
      <w:r>
        <w:rPr>
          <w:rFonts w:ascii="Times New Roman" w:cs="Times New Roman" w:eastAsia="Times New Roman" w:hAnsi="Times New Roman"/>
          <w:color w:val="000000"/>
          <w:sz w:val="20"/>
          <w:szCs w:val="20"/>
        </w:rPr>
        <w:t xml:space="preserve">Yang, W., Hu, Y., et al. (2022). ConfliBERT: A Pre-trained Language Model for Political Conflict and Violence. NAACL 2022.</w:t>
      </w:r>
    </w:p>
    <w:p>
      <w:pPr>
        <w:spacing w:after="120"/>
        <w:ind w:left="720" w:hanging="720"/>
        <w:jc w:val="both"/>
      </w:pPr>
      <w:r>
        <w:rPr>
          <w:rFonts w:ascii="Times New Roman" w:cs="Times New Roman" w:eastAsia="Times New Roman" w:hAnsi="Times New Roman"/>
          <w:color w:val="000000"/>
          <w:sz w:val="20"/>
          <w:szCs w:val="20"/>
        </w:rPr>
        <w:t xml:space="preserve">Yang, W., Alsarra, S., Abdeljaber, L., Zawad, N., Delaram, Z., Osorio, J., Khan, L., Brandt, P., y D'Orazio, V. (2023). ConfliBERT-Spanish: A Pre-trained Spanish Language Model for Political Conflict and Violence. IEEE CiSt 2023, pp. 287–292.</w:t>
      </w:r>
    </w:p>
    <w:p>
      <w:pPr>
        <w:spacing w:after="120"/>
        <w:ind w:left="720" w:hanging="720"/>
        <w:jc w:val="both"/>
      </w:pPr>
      <w:r>
        <w:rPr>
          <w:rFonts w:ascii="Times New Roman" w:cs="Times New Roman" w:eastAsia="Times New Roman" w:hAnsi="Times New Roman"/>
          <w:color w:val="000000"/>
          <w:sz w:val="20"/>
          <w:szCs w:val="20"/>
        </w:rPr>
        <w:t xml:space="preserve">Zehr, H. (2002). The Little Book of Restorative Justice. Good Books.
Dryzek, J. S., y Niemeyer, S. J. (2024). Expressive Epistemic Injustice: Definition, Measurement, and Deliberative Cure. Political Research Quarterly. DOI: 10.1177/10659129241297272
Gilardi, F., Alizadeh, M., y Kubli, M. (2023). ChatGPT outperforms crowd workers for text-annotation tasks. Proceedings of the National Academy of Sciences, 120(30), e2305016120. DOI: 10.1073/pnas.2305016120
Kübler-Wachendorff, S., et al. (2024). Best Practices for Text Annotation with Large Language Models. arXiv:2402.05129</w:t>
      </w:r>
    </w:p>
    <w:p>
      <w:pPr>
        <w:spacing w:after="120"/>
        <w:ind w:left="720" w:hanging="720"/>
        <w:jc w:val="both"/>
      </w:pPr>
      <w:r>
        <w:rPr>
          <w:rFonts w:ascii="Times New Roman" w:cs="Times New Roman" w:eastAsia="Times New Roman" w:hAnsi="Times New Roman"/>
          <w:color w:val="000000"/>
          <w:sz w:val="20"/>
          <w:szCs w:val="20"/>
        </w:rPr>
        <w:t xml:space="preserve">Zhong, H., Wang, Y., Tu, C., Zhang, T., Liu, Z., y Sun, M. (2020). Iteratively questioning and answering for interpretable legal judgment prediction. AAAI 2020.</w:t>
      </w:r>
    </w:p>
    <w:p>
      <w:pPr>
        <w:spacing w:after="120"/>
        <w:ind w:left="720" w:hanging="720"/>
        <w:jc w:val="both"/>
      </w:pPr>
      <w:r>
        <w:rPr>
          <w:rFonts w:ascii="Times New Roman" w:cs="Times New Roman" w:eastAsia="Times New Roman" w:hAnsi="Times New Roman"/>
          <w:color w:val="000000"/>
          <w:sz w:val="20"/>
          <w:szCs w:val="20"/>
        </w:rPr>
        <w:t xml:space="preserve">Zheng, et al. (2025). Meaning transformation: from multimodal courtroom discourse to legal judgments. Nature Humanities &amp; Social Sciences Communications.</w:t>
      </w:r>
    </w:p>
    <w:p>
      <w:r>
        <w:br w:type="page"/>
      </w:r>
    </w:p>
    <w:p>
      <w:pPr>
        <w:pStyle w:val="Heading1"/>
        <w:spacing w:after="120" w:before="240"/>
      </w:pPr>
      <w:r>
        <w:rPr>
          <w:b/>
          <w:bCs/>
          <w:color w:val="1F3864"/>
          <w:sz w:val="32"/>
          <w:szCs w:val="32"/>
        </w:rPr>
        <w:t xml:space="preserve">3. Marco teórico</w:t>
      </w:r>
    </w:p>
    <w:p>
      <w:pPr>
        <w:spacing w:after="120" w:line="276"/>
        <w:jc w:val="both"/>
      </w:pPr>
      <w:r>
        <w:rPr>
          <w:sz w:val="22"/>
          <w:szCs w:val="22"/>
        </w:rPr>
        <w:t xml:space="preserve">Este capítulo desarrolla los fundamentos conceptuales que sostienen la Hermenéutica Forense Computacional (CFH). El marco teórico se articula en cinco niveles: un nivel filosófico-político, que recupera las teorías de la violencia cultural (Galtung, 1990), la justicia como reconocimiento (Fraser, 1995, 2008) y la colonización sistémica del lenguaje (Habermas, 1987) para caracterizar el tipo de daño que produce el lenguaje judicial sobre las víctimas de los falsos positivos; un nivel restaurativo, que incorpora la justicia restaurativa (Zehr, 2002) como marco normativo del reconocimiento genuino; un nivel epistémico, que incorpora la injusticia epistémica de Fricker (2007) como el eslabón que nombra el daño que los otros presuponen; un nivel formal-computacional, que operacionaliza esos mecanismos en un framework de tres capas con dos índices sintéticos —de injusticia discursiva y epistémica—; y un nivel multimodal, que extiende la medición al registro oral y no-verbal de las audiencias JEP mediante el Índice de Congruencia Multimodal (ICM).</w:t>
      </w:r>
    </w:p>
    <w:p>
      <w:pPr>
        <w:spacing w:after="120" w:line="276"/>
        <w:jc w:val="both"/>
      </w:pPr>
      <w:r>
        <w:rPr>
          <w:sz w:val="22"/>
          <w:szCs w:val="22"/>
        </w:rPr>
        <w:t xml:space="preserve">La articulación de estos cinco niveles constituye la originalidad teórica del proyecto: la CFH no es simplemente la aplicación de NLP a textos judiciales, sino un marco que ancla decisiones técnicas en fundamentos filosóficos y empíricos sobre la naturaleza del daño discursivo y su posibilidad de reparación algorítmica.</w:t>
      </w:r>
    </w:p>
    <w:p>
      <w:pPr>
        <w:pStyle w:val="Heading2"/>
        <w:spacing w:after="100" w:before="200"/>
      </w:pPr>
      <w:r>
        <w:rPr>
          <w:b/>
          <w:bCs/>
          <w:color w:val="1F3864"/>
          <w:sz w:val="26"/>
          <w:szCs w:val="26"/>
        </w:rPr>
        <w:t xml:space="preserve">3.1 Violencia cultural y lenguaje institucional: el marco de Galtung</w:t>
      </w:r>
    </w:p>
    <w:p>
      <w:pPr>
        <w:spacing w:after="120" w:line="276"/>
        <w:jc w:val="both"/>
      </w:pPr>
      <w:r>
        <w:rPr>
          <w:sz w:val="22"/>
          <w:szCs w:val="22"/>
        </w:rPr>
        <w:t xml:space="preserve">La teoría de la violencia cultural de Johan Galtung (1990) distingue tres formas interrelacionadas de violencia: la violencia directa, que produce daño físico o psicológico sobre personas concretas; la violencia estructural, que produce daño a través de estructuras sociales que impiden el desarrollo humano; y la violencia cultural, que produce daño a través de los aspectos simbólicos —el lenguaje, el arte, la religión, la ciencia— que legitiman y normalizan las dos formas anteriores.</w:t>
      </w:r>
    </w:p>
    <w:p>
      <w:pPr>
        <w:spacing w:after="120" w:line="276"/>
        <w:jc w:val="both"/>
      </w:pPr>
      <w:r>
        <w:rPr>
          <w:sz w:val="22"/>
          <w:szCs w:val="22"/>
        </w:rPr>
        <w:t xml:space="preserve">En el contexto de los falsos positivos colombianos, las tres formas de violencia operaron de manera articulada. La violencia directa fue el asesinato de civiles. La violencia estructural fue el sistema de incentivos institucionales —la «política de cuerpos», la presión por resultados operacionales, las recompensas por bajas— que creó las condiciones para que el asesinato sistemático de civiles fuera posible y rentable (Human Rights Watch, 2015). La violencia cultural fue el sistema lingüístico que permitió que esas muertes fueran descritas, registradas, archivadas y juzgadas con un lenguaje que las presentaba como acción militar legítima.</w:t>
      </w:r>
    </w:p>
    <w:p>
      <w:pPr>
        <w:spacing w:after="120" w:line="276"/>
        <w:jc w:val="both"/>
      </w:pPr>
      <w:r>
        <w:rPr>
          <w:sz w:val="22"/>
          <w:szCs w:val="22"/>
        </w:rPr>
        <w:t xml:space="preserve">Lo que esta tesis denomina ingeniería burocrática del lenguaje es, en términos de Galtung, una forma específica de violencia cultural: la producción sistemática e institucionalizada de un vocabulario que hace la violencia directa «invisible, impercibida, o aparentemente natural» (Galtung, 1990, p. 292). Cuando un expediente judicial reproduce sin cuestionamiento la denominación «resultado operacional positivo» para referirse al asesinato de un civil, no está simplemente usando una jerga técnica: está institucionalizando la invisibilización discursiva de un homicidio. La violencia cultural, en este caso, opera a través del archivo.</w:t>
      </w:r>
    </w:p>
    <w:p>
      <w:pPr>
        <w:spacing w:after="120" w:line="276"/>
        <w:jc w:val="both"/>
      </w:pPr>
      <w:r>
        <w:rPr>
          <w:sz w:val="22"/>
          <w:szCs w:val="22"/>
        </w:rPr>
        <w:t xml:space="preserve">Para los propósitos de esta investigación, la violencia cultural lingüística se operacionaliza a través de tres mecanismos discursivos: el Eufemismo Bélico-Institucional (EBI), que opera sobre el vocabulario; la Supresión de Agentividad (SA), que opera sobre la gramática ocultando al responsable; y la Negación de Victimización (NV), que opera sobre la identidad atribuida a las personas asesinadas. Estos tres mecanismos son las manifestaciones computacionalmente detectables de la violencia cultural en el corpus judicial.</w:t>
      </w:r>
    </w:p>
    <w:p>
      <w:pPr>
        <w:pStyle w:val="Heading2"/>
        <w:spacing w:after="100" w:before="200"/>
      </w:pPr>
      <w:r>
        <w:rPr>
          <w:b/>
          <w:bCs/>
          <w:color w:val="1F3864"/>
          <w:sz w:val="26"/>
          <w:szCs w:val="26"/>
        </w:rPr>
        <w:t xml:space="preserve">3.2 Justicia como reconocimiento: el marco de Fraser</w:t>
      </w:r>
    </w:p>
    <w:p>
      <w:pPr>
        <w:spacing w:after="120" w:line="276"/>
        <w:jc w:val="both"/>
      </w:pPr>
      <w:r>
        <w:rPr>
          <w:sz w:val="22"/>
          <w:szCs w:val="22"/>
        </w:rPr>
        <w:t xml:space="preserve">Si Galtung ofrece el marco para entender cómo el lenguaje produce violencia, Nancy Fraser (1995, 2008) ofrece el marco para entender qué significa superarla. En su teoría de la justicia como reconocimiento, Fraser argumenta que la injusticia no tiene únicamente una dimensión distributiva —quién recibe qué— sino también una dimensión de reconocimiento: quién es reconocido como un igual, como alguien cuya perspectiva y experiencia cuentan en la construcción de la verdad colectiva.</w:t>
      </w:r>
    </w:p>
    <w:p>
      <w:pPr>
        <w:spacing w:after="120" w:line="276"/>
        <w:jc w:val="both"/>
      </w:pPr>
      <w:r>
        <w:rPr>
          <w:sz w:val="22"/>
          <w:szCs w:val="22"/>
        </w:rPr>
        <w:t xml:space="preserve">La injusticia de reconocimiento ocurre cuando grupos o personas son sometidos a patrones institucionalizados de interpretación cultural que los degradan, los invisibilizan o los representan como «Otro» inferior o desviado. Fraser llama a esta forma de injusticia misrecognition, y la distingue de la mera intolerancia o el prejuicio individual: es sistémica, está institucionalizada en prácticas y estructuras culturales. En el contexto de los falsos positivos, la falta de reconocimiento operó en dos momentos: durante el crimen, cuando las víctimas fueron despojadas discursivamente de su condición de civiles protegidos por el DIH; y durante el procesamiento judicial ordinario, cuando los tribunales reprodujeron ese lenguaje sin cuestionarlo.</w:t>
      </w:r>
    </w:p>
    <w:p>
      <w:pPr>
        <w:spacing w:after="120" w:line="276"/>
        <w:jc w:val="both"/>
      </w:pPr>
      <w:r>
        <w:rPr>
          <w:sz w:val="22"/>
          <w:szCs w:val="22"/>
        </w:rPr>
        <w:t xml:space="preserve">El proceso de justicia transicional generado por la JEP puede entenderse, desde el marco de Fraser, como un proceso de reconocimiento: el reconocimiento de las víctimas como civiles inocentes, de sus nombres y sus historias, de la responsabilidad de los perpetradores, y de que lo que el Estado llamó «baja en combate» fue un crimen de lesa humanidad. Lo que esta tesis denomina Ruptura Epistémica Positiva (REP) es la manifestación discursiva de ese reconocimiento: la aparición, en los documentos transicionales, de un lenguaje que devuelve a las víctimas su condición de personas y a los perpetradores su responsabilidad. La contribución específica de Fraser al marco teórico de la CFH es que el reconocimiento puede ser medido: si la falta de reconocimiento se manifiesta en patrones lingüísticos sistemáticos, entonces el reconocimiento también tiene una signatura lingüística detectable computacionalmente.</w:t>
      </w:r>
    </w:p>
    <w:p>
      <w:pPr>
        <w:pStyle w:val="Heading2"/>
        <w:spacing w:after="100" w:before="200"/>
      </w:pPr>
      <w:r>
        <w:rPr>
          <w:b/>
          <w:bCs/>
          <w:color w:val="1F3864"/>
          <w:sz w:val="26"/>
          <w:szCs w:val="26"/>
        </w:rPr>
        <w:t xml:space="preserve">3.3 La colonización sistémica del lenguaje: Habermas</w:t>
      </w:r>
    </w:p>
    <w:p>
      <w:pPr>
        <w:spacing w:after="120" w:line="276"/>
        <w:jc w:val="both"/>
      </w:pPr>
      <w:r>
        <w:rPr>
          <w:sz w:val="22"/>
          <w:szCs w:val="22"/>
        </w:rPr>
        <w:t xml:space="preserve">El concepto habermasiano de colonización sistémica del mundo de la vida (Habermas, 1987) describe cómo los sistemas sociales —el mercado, el aparato burocrático-estatal— imponen su lógica y su lenguaje sobre el mundo de la experiencia cotidiana de las personas. En el caso de los falsos positivos, el sistema militar-burocrático colonizó el lenguaje con que la sociedad colombiana comprendía y registraba las muertes de civiles: impuso su vocabulario técnico-operacional sobre el lenguaje de la experiencia cotidiana de las familias afectadas. Los eufemismos militares no eran errores de comunicación —eran el mecanismo mediante el cual la lógica del sistema se imponía sobre el mundo de la vida de las víctimas.</w:t>
      </w:r>
    </w:p>
    <w:p>
      <w:pPr>
        <w:spacing w:after="120" w:line="276"/>
        <w:jc w:val="both"/>
      </w:pPr>
      <w:r>
        <w:rPr>
          <w:sz w:val="22"/>
          <w:szCs w:val="22"/>
        </w:rPr>
        <w:t xml:space="preserve">Para la CFH, este marco teórico implica que medir la injusticia discursiva no es solo cuantificar la frecuencia de eufemismos: es medir la distancia entre el lenguaje sistémico del archivo judicial y el lenguaje vivido de las víctimas. Los centroides semánticos de MAFAPO y la CIDH operacionalizan precisamente esa distancia: representan el polo del mundo de la vida de las víctimas y del derecho internacional de los derechos humanos, respectivamente. La colonización sistémica produce una brecha semántica que la CFH mide como distancia coseno entre embeddings.</w:t>
      </w:r>
    </w:p>
    <w:p>
      <w:pPr>
        <w:spacing w:after="120" w:line="276"/>
        <w:jc w:val="both"/>
      </w:pPr>
      <w:r>
        <w:rPr>
          <w:sz w:val="22"/>
          <w:szCs w:val="22"/>
        </w:rPr>
        <w:t xml:space="preserve">Sin embargo, la teoría habermasiana enfrenta una tensión importante cuando se aplica a crímenes de lesa humanidad: ¿puede un proceso comunicativo que incluye víctimas y victimarios en «condiciones de igualdad» producir justicia cuando las asimetrías de poder son tan extremas? Esta tensión señala que la ruptura epistémica positiva no puede medirse solo como convergencia hacia un lenguaje de consenso — debe medirse como convergencia hacia el lenguaje de los derechos humanos y la dignidad de las víctimas. Por eso el framework incorpora fuentes de referencia normativas específicas (MAFAPO, CIDH) y no simplemente métricas de similitud textual genérica.</w:t>
      </w:r>
    </w:p>
    <w:p>
      <w:pPr>
        <w:pStyle w:val="Heading2"/>
        <w:spacing w:after="100" w:before="200"/>
      </w:pPr>
      <w:r>
        <w:rPr>
          <w:b/>
          <w:bCs/>
          <w:color w:val="1F3864"/>
          <w:sz w:val="26"/>
          <w:szCs w:val="26"/>
        </w:rPr>
        <w:t xml:space="preserve">3.4 Justicia restaurativa y autenticidad del reconocimiento: Zehr</w:t>
      </w:r>
    </w:p>
    <w:p>
      <w:pPr>
        <w:spacing w:after="120" w:line="276"/>
        <w:jc w:val="both"/>
      </w:pPr>
      <w:r>
        <w:rPr>
          <w:sz w:val="22"/>
          <w:szCs w:val="22"/>
        </w:rPr>
        <w:t xml:space="preserve">La teoría de la justicia restaurativa de Howard Zehr (2002) añade una dimensión crucial que los marcos de Galtung, Fraser y Habermas no abordan directamente: la autenticidad del reconocimiento. Zehr distingue entre la reparación simbólica genuina —que implica que el perpetrador comprende realmente el daño causado y lo nombra desde la perspectiva de la víctima— y la reparación performativa —que cumple las formas del reconocimiento sin la substancia emocional y cognitiva que le da sentido.</w:t>
      </w:r>
    </w:p>
    <w:p>
      <w:pPr>
        <w:spacing w:after="120" w:line="276"/>
        <w:jc w:val="both"/>
      </w:pPr>
      <w:r>
        <w:rPr>
          <w:sz w:val="22"/>
          <w:szCs w:val="22"/>
        </w:rPr>
        <w:t xml:space="preserve">Esta distinción es directamente relevante para el Corpus C de audiencias orales de la JEP. Cuando un compareciente pronuncia las palabras «reconozco mi responsabilidad», esas palabras pueden ser un acto de reparación genuina o una fórmula procesal vacía. El texto transcrito no puede distinguir entre ambas posibilidades — pero la voz y el rostro sí pueden. La prosodia del reconocimiento genuino —las pausas, el quiebre de voz, el tempo reducido (Baird y Coutinho, 2019)— y la expresión facial del distress emocional (AU1+AU4+AU15+AU17 en el sistema FACS) proveen información adicional que el análisis textual no captura.</w:t>
      </w:r>
    </w:p>
    <w:p>
      <w:pPr>
        <w:spacing w:after="120" w:line="276"/>
        <w:jc w:val="both"/>
      </w:pPr>
      <w:r>
        <w:rPr>
          <w:sz w:val="22"/>
          <w:szCs w:val="22"/>
        </w:rPr>
        <w:t xml:space="preserve">Desde la perspectiva de Zehr, el reconocimiento genuino requiere congruencia entre lo que se dice, cómo se dice y cómo se expresa corporalmente. Esa congruencia es precisamente lo que el Índice de Congruencia Multimodal (ICM) busca medir: la coherencia entre el canal verbal (texto), el canal vocal (prosodia) y el canal facial (AUs, head pose, gaze). La incongruencia entre canales es la signatura computacional de la baja congruencia multimodal — de la fórmula procesal sin substancia restaurativa.</w:t>
      </w:r>
    </w:p>
    <w:p>
      <w:pPr>
        <w:pStyle w:val="Heading2"/>
        <w:spacing w:after="100" w:before="200"/>
      </w:pPr>
      <w:r>
        <w:rPr>
          <w:b/>
          <w:bCs/>
          <w:color w:val="1F3864"/>
          <w:sz w:val="26"/>
          <w:szCs w:val="26"/>
        </w:rPr>
        <w:t xml:space="preserve">3.5 Injusticia epistémica, decolonialidad y extensión multimodal: el marco de Fricker y sus límites</w:t>
      </w:r>
    </w:p>
    <w:p>
      <w:pPr>
        <w:spacing w:after="120" w:line="276"/>
        <w:jc w:val="both"/>
      </w:pPr>
      <w:r>
        <w:rPr>
          <w:sz w:val="22"/>
          <w:szCs w:val="22"/>
        </w:rPr>
        <w:t xml:space="preserve">Los cuatro marcos teóricos presentados hasta aquí —Galtung, Fraser, Habermas y Zehr— comparten un presupuesto que ninguno nombra explícitamente: el daño infligido a las víctimas de los falsos positivos no es solo distributivo, reconocitivo o comunicativo en abstracto. Es, antes que todo, un daño epistémico: las víctimas fueron sistemáticamente descalificadas como sujetos de conocimiento, como narradoras creíbles de su propia experiencia. El archivo judicial no solo las silenció —las hizo ininteligibles. Para nombrar filosóficamente esta dimensión es necesario incorporar el marco de Miranda Fricker (2007), cuya teoría de la injusticia epistémica provee el anclaje canónico del concepto que esta tesis operacionaliza empíricamente.</w:t>
      </w:r>
    </w:p>
    <w:p>
      <w:pPr>
        <w:spacing w:after="120" w:line="276"/>
        <w:jc w:val="both"/>
      </w:pPr>
      <w:r>
        <w:rPr>
          <w:sz w:val="22"/>
          <w:szCs w:val="22"/>
        </w:rPr>
        <w:t xml:space="preserve">Fricker distingue dos formas de injusticia epistémica. La injusticia testimonial ocurre cuando un oyente atribuye al hablante menos credibilidad de la que merece, motivado por un prejuicio identitario —de género, raza, clase o condición social. En el caso de los falsos positivos, las madres de MAFAPO fueron sometidas a injusticia testimonial sistemática: cuando declaraban ante el aparato burocrático-militar que su hijo no era guerrillero sino un civil, su testimonio era descartado no por insuficiencia probatoria sino por su posición estructural en el campo epistémico. Dotson (2011) extiende este concepto con el de testimonial smothering: el autosilenciamiento preventivo que ocurre cuando el sujeto anticipa que su testimonio será rechazado antes de emitirlo. La resistencia silenciosa de muchas familias durante años antes de organizarse en MAFAPO es, en términos de Dotson, testimonial smothering institucionalizado.</w:t>
      </w:r>
    </w:p>
    <w:p>
      <w:pPr>
        <w:spacing w:after="120" w:line="276"/>
        <w:jc w:val="both"/>
      </w:pPr>
      <w:r>
        <w:rPr>
          <w:sz w:val="22"/>
          <w:szCs w:val="22"/>
        </w:rPr>
        <w:t xml:space="preserve">La injusticia hermenéutica opera a un nivel más profundo: ocurre cuando los recursos colectivos de interpretación disponibles en una sociedad son tan deficientes que el sujeto no puede hacer inteligible su propia experiencia, ni siquiera para sí mismo. En el caso colombiano, el vocabulario bélico-institucional no era simplemente engañoso —era constitutivo de la realidad epistémica oficial. No existían conceptos institucionalmente disponibles para llamar asesinato a lo que los informes llamaban «baja en combate». El trabajo de MAFAPO, de la CIDH y de la propia JEP ha sido, en términos de Fricker, un proceso de expansión de los recursos hermenéuticos colectivos. Rojas-Andrade et al. (2025) —el único paper que aplica el marco de Fricker directamente al Macrocaso 003— documentan esta resistencia de MAFAPO como lucha por hermeneutical resources: las madres no solo buscaban justicia retributiva sino la restitución de su capacidad de hacer inteligible la muerte de sus hijos.</w:t>
      </w:r>
    </w:p>
    <w:p>
      <w:pPr>
        <w:spacing w:after="120" w:line="276"/>
        <w:jc w:val="both"/>
      </w:pPr>
      <w:r>
        <w:rPr>
          <w:sz w:val="22"/>
          <w:szCs w:val="22"/>
        </w:rPr>
        <w:t xml:space="preserve">Este marco transforma la lectura de los indicadores cuantitativos del framework CFH. El concepto de ruptura epistémica —eje articulador de la pregunta de investigación— es la operacionalización empírica de lo que Fricker denomina la corrección de la injusticia hermenéutica. Los centroides MAFAPO (y₈) y CIDH (y₉) operacionalizan vectorialmente el collective hermeneutical resource de las víctimas: la convergencia semántica hacia estos centroides —esto es, la reducción de la distancia y₈— es la traza cuantitativa del cierre progresivo de la brecha hermenéutica. La Negación de Victimización (y₄), por su parte, captura el credibility deficit de la injusticia testimonial. Por eso el Índice de Injusticia Epistémica (IEI) integra ambas dimensiones: la distancia semántica a los centroides (injusticia hermenéutica) y la negación de victimización (injusticia testimonial). La contribución metodológica central es que Fricker describe estas formas filosóficamente pero no ofrece herramientas para medirlas a escala; el framework CFH es la primera operacionalización multivariada de la injusticia epistémica en español jurídico colombiano.</w:t>
      </w:r>
    </w:p>
    <w:p>
      <w:pPr>
        <w:spacing w:after="120" w:line="276"/>
        <w:jc w:val="both"/>
      </w:pPr>
      <w:r>
        <w:rPr>
          <w:sz w:val="22"/>
          <w:szCs w:val="22"/>
        </w:rPr>
        <w:t xml:space="preserve">La integración de Fricker no sustituye los cuatro marcos anteriores —los completa con el eslabón que los cuatro presuponen sin nombrar. Galtung describe la violencia cultural sobre el lenguaje pero no especifica el daño al sujeto como conocedor. Fraser articula el reconocimiento como paridad participativa pero no desarrolla su dimensión epistémica. Habermas identifica la distorsión comunicativa del sistema burocrático pero no la nombra como agravio epistémico específico. Zehr distingue autenticidad del reconocimiento pero no ofrece categorías para el fallo epistémico que produce el reconocimiento performativo. Fricker es el eslabón que articula estos cuatro marcos en una teoría coherente del daño que el archivo judicial colombiano produce sobre las víctimas.</w:t>
      </w:r>
    </w:p>
    <w:p>
      <w:pPr>
        <w:spacing w:after="120" w:line="276"/>
        <w:jc w:val="both"/>
      </w:pPr>
      <w:r>
        <w:rPr>
          <w:sz w:val="22"/>
          <w:szCs w:val="22"/>
        </w:rPr>
        <w:t xml:space="preserve">La incorporación del marco de Fricker en esta tesis no opera como importación de teoría europea al caso colombiano sino como identificación retrospectiva de una estructura conceptual que la resistencia epistémica de las víctimas colombianas ya estaba practicando antes de que la teoría la nombrara. Los centroides semánticos de MAFAPO —construidos con 293 textos de voz directa de las víctimas: comunicados, declaraciones ante la JEP y testimonios en audiencias de reconocimiento— son la operacionalización de lo que Fricker llama hermeneutical resources producidos por comunidades marginadas: recursos conceptuales que las víctimas construyeron colectivamente para hacer inteligible su experiencia cuando el léxico oficial la hacía invisible. Antes de que Fricker publicara su teoría en 2007, MAFAPO ya practicaba la resistencia epistémica que ella describe. La teoría de Fricker no se importa al caso colombiano —se descubre en él. Este marco se articula explícitamente con la crítica decolonial latinoamericana: Boaventura de Sousa Santos (2009) nombra epistemicidio lo que Fricker llama hermeneutical gap cuando opera a escala civilizatoria. Castillejo-Cuéllar (2016), como comisionado de la Verdad, documenta la economía narrativa del testimonio en la justicia transicional colombiana: no todos los testimonios circulan con igual capital epistémico dentro del proceso. Wolf (2022) aplica el marco de Fricker a migrantes venezolanos en Colombia; Páez y Matida (2022) lo aplican al proceso penal colombiano. El marco adoptado en esta tesis es explícitamente híbrido: categorías analíticas de Fricker articuladas con la crítica decolonial del sur global y la filosofía y etnografía colombianas.</w:t>
      </w:r>
    </w:p>
    <w:p>
      <w:pPr>
        <w:spacing w:after="120" w:line="276"/>
        <w:jc w:val="both"/>
      </w:pPr>
      <w:r>
        <w:rPr>
          <w:sz w:val="22"/>
          <w:szCs w:val="22"/>
        </w:rPr>
        <w:t xml:space="preserve">El presente framework extiende la teoría de Fricker en una dimensión que su planteamiento original no contempla: la dimensión multimodal del acto testimonial. Fricker opera sobre el intercambio testimonial como fenómeno monomodal —la palabra hablada o escrita como único canal. Las audiencias de reconocimiento de la JEP son trimodales: texto, voz y expresión corporal simultáneamente. El Índice de Congruencia Multimodal (ICM) permite identificar un fenómeno no categorizado por Fricker: la incongruencia epistémica multimodal, que ocurre cuando el canal verbal ejecuta la restitución epistémica —el compareciente adopta el léxico de las víctimas, usa lenguaje reparatorio, reduce la distancia semántica respecto a MAFAPO— pero los canales vocal y facial generan disonancia respecto a ese contenido. En estos casos el acto de reconocimiento es epistemológicamente ambiguo: cumple las condiciones formales de la corrección hermenéutica pero no las condiciones multimodales de su habitación genuina. El análisis del Corpus C documenta casos de este tipo de divergencia entre canales. Esta extensión del marco de Fricker al dominio multimodal, operacionalizada mediante el ICM tri-canal, constituye una de las contribuciones teóricas más originales del presente trabajo.</w:t>
      </w:r>
    </w:p>
    <w:p>
      <w:pPr>
        <w:pStyle w:val="Heading2"/>
        <w:spacing w:after="100" w:before="200"/>
      </w:pPr>
      <w:r>
        <w:rPr>
          <w:b/>
          <w:bCs/>
          <w:color w:val="1F3864"/>
          <w:sz w:val="26"/>
          <w:szCs w:val="26"/>
        </w:rPr>
        <w:t xml:space="preserve">3.6 La Hermenéutica Forense Computacional: framework de tres capas</w:t>
      </w:r>
    </w:p>
    <w:p>
      <w:pPr>
        <w:spacing w:after="120" w:line="276"/>
        <w:jc w:val="both"/>
      </w:pPr>
      <w:r>
        <w:rPr>
          <w:sz w:val="22"/>
          <w:szCs w:val="22"/>
        </w:rPr>
        <w:t xml:space="preserve">La Hermenéutica Forense Computacional (CFH) es el framework metodológico original que esta tesis desarrolla para integrar los fundamentos teóricos descritos con herramientas computacionales. El término hermenéutica se usa en su sentido gadameriano: como el arte de la interpretación de textos que llevan consigo las huellas de contextos históricos, relaciones de poder y conflictos de sentido. El adjetivo forense señala que esa interpretación se realiza sobre documentos producidos en el marco de procesos de justicia. El adjetivo computacional indica que el análisis emplea métodos de procesamiento automático de lenguaje natural a escala.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AF1F8" w:val="clear"/>
          </w:tcPr>
          <w:p>
            <w:pPr>
              <w:spacing w:after="60"/>
            </w:pPr>
            <w:r>
              <w:rPr>
                <w:b/>
                <w:bCs/>
                <w:color w:val="1F3864"/>
                <w:sz w:val="21"/>
                <w:szCs w:val="21"/>
              </w:rPr>
              <w:t xml:space="preserve">Definición 3.1 — Hermenéutica Forense Computacional (CFH)</w:t>
            </w:r>
          </w:p>
          <w:p>
            <w:pPr>
              <w:jc w:val="both"/>
            </w:pPr>
            <w:r>
              <w:rPr>
                <w:i/>
                <w:iCs/>
                <w:sz w:val="20"/>
                <w:szCs w:val="20"/>
              </w:rPr>
              <w:t xml:space="preserve">Framework multimodal de reparación algorítmica para la medición cuantitativa de la injusticia discursiva y epistémica en archivos judiciales, mediante un sistema de tres capas —léxica, semántica y multimodal— que operacionaliza mecanismos de violencia cultural (Galtung, 1990), falta de reconocimiento (Fraser, 1995), colonización sistémica del lenguaje (Habermas, 1987) e injusticia epistémica (Fricker, 2007), y evalúa la congruencia del reconocimiento oral en audiencias de justicia transicional mediante el Índice de Congruencia Multimodal (ICM).</w:t>
            </w:r>
          </w:p>
        </w:tc>
      </w:tr>
    </w:tbl>
    <w:p>
      <w:pPr>
        <w:spacing w:after="120" w:line="276"/>
        <w:jc w:val="both"/>
      </w:pPr>
      <w:r>
        <w:rPr>
          <w:sz w:val="22"/>
          <w:szCs w:val="22"/>
        </w:rPr>
        <w:t xml:space="preserve">La CFH se articula en tres capas analíticas que corresponden a tres niveles de profundidad en la medición de la injusticia:</w:t>
      </w:r>
    </w:p>
    <w:p>
      <w:pPr>
        <w:spacing w:after="60" w:before="60"/>
      </w:pPr>
      <w:r>
        <w:rPr>
          <w:i/>
          <w:iCs/>
          <w:color w:val="595959"/>
          <w:sz w:val="19"/>
          <w:szCs w:val="19"/>
        </w:rPr>
        <w:t xml:space="preserve">Tabla 3.1. Las tres capas del framework CFH.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2860"/>
        <w:gridCol w:w="3100"/>
      </w:tblGrid>
      <w:tr>
        <w:trPr>
          <w:tblHeader/>
        </w:trPr>
        <w:tc>
          <w:tcPr>
            <w:tcW w:type="dxa" w:w="1500"/>
            <w:shd w:fill="1F3864" w:val="clear"/>
          </w:tcPr>
          <w:p>
            <w:pPr>
              <w:jc w:val="center"/>
            </w:pPr>
            <w:r>
              <w:rPr>
                <w:b/>
                <w:bCs/>
                <w:color w:val="FFFFFF"/>
                <w:sz w:val="19"/>
                <w:szCs w:val="19"/>
              </w:rPr>
              <w:t xml:space="preserve">Capa</w:t>
            </w:r>
          </w:p>
        </w:tc>
        <w:tc>
          <w:tcPr>
            <w:tcW w:type="dxa" w:w="1900"/>
            <w:shd w:fill="1F3864" w:val="clear"/>
          </w:tcPr>
          <w:p>
            <w:pPr>
              <w:jc w:val="center"/>
            </w:pPr>
            <w:r>
              <w:rPr>
                <w:b/>
                <w:bCs/>
                <w:color w:val="FFFFFF"/>
                <w:sz w:val="19"/>
                <w:szCs w:val="19"/>
              </w:rPr>
              <w:t xml:space="preserve">Dimensión</w:t>
            </w:r>
          </w:p>
        </w:tc>
        <w:tc>
          <w:tcPr>
            <w:tcW w:type="dxa" w:w="2860"/>
            <w:shd w:fill="1F3864" w:val="clear"/>
          </w:tcPr>
          <w:p>
            <w:pPr>
              <w:jc w:val="center"/>
            </w:pPr>
            <w:r>
              <w:rPr>
                <w:b/>
                <w:bCs/>
                <w:color w:val="FFFFFF"/>
                <w:sz w:val="19"/>
                <w:szCs w:val="19"/>
              </w:rPr>
              <w:t xml:space="preserve">Pregunta</w:t>
            </w:r>
          </w:p>
        </w:tc>
        <w:tc>
          <w:tcPr>
            <w:tcW w:type="dxa" w:w="3100"/>
            <w:shd w:fill="1F3864" w:val="clear"/>
          </w:tcPr>
          <w:p>
            <w:pPr>
              <w:jc w:val="center"/>
            </w:pPr>
            <w:r>
              <w:rPr>
                <w:b/>
                <w:bCs/>
                <w:color w:val="FFFFFF"/>
                <w:sz w:val="19"/>
                <w:szCs w:val="19"/>
              </w:rPr>
              <w:t xml:space="preserve">Indicadores</w:t>
            </w:r>
          </w:p>
        </w:tc>
      </w:tr>
      <w:tr>
        <w:tc>
          <w:tcPr>
            <w:tcW w:type="dxa" w:w="1500"/>
            <w:shd w:fill="FFFFFF" w:val="clear"/>
          </w:tcPr>
          <w:p>
            <w:pPr>
              <w:jc w:val="left"/>
            </w:pPr>
            <w:r>
              <w:rPr>
                <w:b/>
                <w:bCs/>
                <w:sz w:val="19"/>
                <w:szCs w:val="19"/>
              </w:rPr>
              <w:t xml:space="preserve">1 — Léxica</w:t>
            </w:r>
          </w:p>
        </w:tc>
        <w:tc>
          <w:tcPr>
            <w:tcW w:type="dxa" w:w="1900"/>
            <w:shd w:fill="FFFFFF" w:val="clear"/>
          </w:tcPr>
          <w:p>
            <w:pPr>
              <w:jc w:val="center"/>
            </w:pPr>
            <w:r>
              <w:rPr>
                <w:b w:val="false"/>
                <w:bCs w:val="false"/>
                <w:sz w:val="19"/>
                <w:szCs w:val="19"/>
              </w:rPr>
              <w:t xml:space="preserve">¿Cambian las palabras?</w:t>
            </w:r>
          </w:p>
        </w:tc>
        <w:tc>
          <w:tcPr>
            <w:tcW w:type="dxa" w:w="2860"/>
            <w:shd w:fill="FFFFFF" w:val="clear"/>
          </w:tcPr>
          <w:p>
            <w:pPr>
              <w:jc w:val="center"/>
            </w:pPr>
            <w:r>
              <w:rPr>
                <w:b w:val="false"/>
                <w:bCs w:val="false"/>
                <w:sz w:val="19"/>
                <w:szCs w:val="19"/>
              </w:rPr>
              <w:t xml:space="preserve">Mecanismos de violencia discursiva en el texto</w:t>
            </w:r>
          </w:p>
        </w:tc>
        <w:tc>
          <w:tcPr>
            <w:tcW w:type="dxa" w:w="3100"/>
            <w:shd w:fill="FFFFFF" w:val="clear"/>
          </w:tcPr>
          <w:p>
            <w:pPr>
              <w:jc w:val="center"/>
            </w:pPr>
            <w:r>
              <w:rPr>
                <w:b w:val="false"/>
                <w:bCs w:val="false"/>
                <w:sz w:val="19"/>
                <w:szCs w:val="19"/>
              </w:rPr>
              <w:t xml:space="preserve">EBI, SA, NV, REP, persona gramatical, hedging, léxico emocional</w:t>
            </w:r>
          </w:p>
        </w:tc>
      </w:tr>
      <w:tr>
        <w:tc>
          <w:tcPr>
            <w:tcW w:type="dxa" w:w="1500"/>
            <w:shd w:fill="F2F2F2" w:val="clear"/>
          </w:tcPr>
          <w:p>
            <w:pPr>
              <w:jc w:val="left"/>
            </w:pPr>
            <w:r>
              <w:rPr>
                <w:b/>
                <w:bCs/>
                <w:sz w:val="19"/>
                <w:szCs w:val="19"/>
              </w:rPr>
              <w:t xml:space="preserve">2 — Semántica</w:t>
            </w:r>
          </w:p>
        </w:tc>
        <w:tc>
          <w:tcPr>
            <w:tcW w:type="dxa" w:w="1900"/>
            <w:shd w:fill="F2F2F2" w:val="clear"/>
          </w:tcPr>
          <w:p>
            <w:pPr>
              <w:jc w:val="center"/>
            </w:pPr>
            <w:r>
              <w:rPr>
                <w:b w:val="false"/>
                <w:bCs w:val="false"/>
                <w:sz w:val="19"/>
                <w:szCs w:val="19"/>
              </w:rPr>
              <w:t xml:space="preserve">¿Cambia el significado?</w:t>
            </w:r>
          </w:p>
        </w:tc>
        <w:tc>
          <w:tcPr>
            <w:tcW w:type="dxa" w:w="2860"/>
            <w:shd w:fill="F2F2F2" w:val="clear"/>
          </w:tcPr>
          <w:p>
            <w:pPr>
              <w:jc w:val="center"/>
            </w:pPr>
            <w:r>
              <w:rPr>
                <w:b w:val="false"/>
                <w:bCs w:val="false"/>
                <w:sz w:val="19"/>
                <w:szCs w:val="19"/>
              </w:rPr>
              <w:t xml:space="preserve">Distancia semántica al polo de las víctimas</w:t>
            </w:r>
          </w:p>
        </w:tc>
        <w:tc>
          <w:tcPr>
            <w:tcW w:type="dxa" w:w="3100"/>
            <w:shd w:fill="F2F2F2" w:val="clear"/>
          </w:tcPr>
          <w:p>
            <w:pPr>
              <w:jc w:val="center"/>
            </w:pPr>
            <w:r>
              <w:rPr>
                <w:b w:val="false"/>
                <w:bCs w:val="false"/>
                <w:sz w:val="19"/>
                <w:szCs w:val="19"/>
              </w:rPr>
              <w:t xml:space="preserve">Dist. MAFAPO (y₈), Dist. CIDH (y₉), surprisal contrastivo (y₇)</w:t>
            </w:r>
          </w:p>
        </w:tc>
      </w:tr>
      <w:tr>
        <w:tc>
          <w:tcPr>
            <w:tcW w:type="dxa" w:w="1500"/>
            <w:shd w:fill="FFFFFF" w:val="clear"/>
          </w:tcPr>
          <w:p>
            <w:pPr>
              <w:jc w:val="left"/>
            </w:pPr>
            <w:r>
              <w:rPr>
                <w:b/>
                <w:bCs/>
                <w:sz w:val="19"/>
                <w:szCs w:val="19"/>
              </w:rPr>
              <w:t xml:space="preserve">3 — Multimodal</w:t>
            </w:r>
          </w:p>
        </w:tc>
        <w:tc>
          <w:tcPr>
            <w:tcW w:type="dxa" w:w="1900"/>
            <w:shd w:fill="FFFFFF" w:val="clear"/>
          </w:tcPr>
          <w:p>
            <w:pPr>
              <w:jc w:val="center"/>
            </w:pPr>
            <w:r>
              <w:rPr>
                <w:b w:val="false"/>
                <w:bCs w:val="false"/>
                <w:sz w:val="19"/>
                <w:szCs w:val="19"/>
              </w:rPr>
              <w:t xml:space="preserve">¿Es congruente?</w:t>
            </w:r>
          </w:p>
        </w:tc>
        <w:tc>
          <w:tcPr>
            <w:tcW w:type="dxa" w:w="2860"/>
            <w:shd w:fill="FFFFFF" w:val="clear"/>
          </w:tcPr>
          <w:p>
            <w:pPr>
              <w:jc w:val="center"/>
            </w:pPr>
            <w:r>
              <w:rPr>
                <w:b w:val="false"/>
                <w:bCs w:val="false"/>
                <w:sz w:val="19"/>
                <w:szCs w:val="19"/>
              </w:rPr>
              <w:t xml:space="preserve">Congruencia entre texto, voz y expresión facial</w:t>
            </w:r>
          </w:p>
        </w:tc>
        <w:tc>
          <w:tcPr>
            <w:tcW w:type="dxa" w:w="3100"/>
            <w:shd w:fill="FFFFFF" w:val="clear"/>
          </w:tcPr>
          <w:p>
            <w:pPr>
              <w:jc w:val="center"/>
            </w:pPr>
            <w:r>
              <w:rPr>
                <w:b w:val="false"/>
                <w:bCs w:val="false"/>
                <w:sz w:val="19"/>
                <w:szCs w:val="19"/>
              </w:rPr>
              <w:t xml:space="preserve">eGeMAPS 88 features, MediaPipe AUs, ICM tri-canal</w:t>
            </w:r>
          </w:p>
        </w:tc>
      </w:tr>
    </w:tbl>
    <w:p>
      <w:pPr>
        <w:spacing w:after="120" w:line="276"/>
        <w:jc w:val="both"/>
      </w:pPr>
      <w:r>
        <w:rPr>
          <w:sz w:val="22"/>
          <w:szCs w:val="22"/>
        </w:rPr>
        <w:t xml:space="preserve">La Capa 1 léxica opera sobre los tres corpus extrayendo los mecanismos discursivos que Galtung identifica como violencia cultural. La Capa 2 semántica opera sobre los tres corpora usando ConfliBERT-Spanish para medir la distancia semántica respecto a los polos de referencia normativa. La Capa 3 multimodal opera exclusivamente sobre el Corpus C —audiencias orales— para medir la autenticidad del reconocimiento en el sentido de Zehr. Las tres capas alimentan los índices sintéticos que se definen en la sección 3.8.</w:t>
      </w:r>
    </w:p>
    <w:p>
      <w:pPr>
        <w:pStyle w:val="Heading2"/>
        <w:spacing w:after="100" w:before="200"/>
      </w:pPr>
      <w:r>
        <w:rPr>
          <w:b/>
          <w:bCs/>
          <w:color w:val="1F3864"/>
          <w:sz w:val="26"/>
          <w:szCs w:val="26"/>
        </w:rPr>
        <w:t xml:space="preserve">3.7 Los centroides de referencia: la Memoria de Verdad Triangulada</w:t>
      </w:r>
    </w:p>
    <w:p>
      <w:pPr>
        <w:spacing w:after="120" w:line="276"/>
        <w:jc w:val="both"/>
      </w:pPr>
      <w:r>
        <w:rPr>
          <w:sz w:val="22"/>
          <w:szCs w:val="22"/>
        </w:rPr>
        <w:t xml:space="preserve">Una de las contribuciones metodológicas más importantes de la CFH es la construcción de lo que el marco denomina Memoria de Verdad Triangulada: el conjunto de vectores semánticos de referencia respecto a los cuales se mide la distancia discursiva de cada documento judicial. Esta construcción responde directamente a la tensión habermasiana señalada en §3.3: el reconocimiento no puede medirse como convergencia hacia cualquier consenso, sino hacia el lenguaje de los derechos y la dignidad de las víctimas. Establecer este polo de referencia antes de definir los índices es una decisión teórica deliberada: los índices de distancia semántica (y₈, y₉) solo adquieren sentido una vez fijado el espacio hermenéutico de las víctimas hacia el cual se mide la convergencia.</w:t>
      </w:r>
    </w:p>
    <w:p>
      <w:pPr>
        <w:spacing w:after="120" w:line="276"/>
        <w:jc w:val="both"/>
      </w:pPr>
      <w:r>
        <w:rPr>
          <w:sz w:val="22"/>
          <w:szCs w:val="22"/>
        </w:rPr>
        <w:t xml:space="preserve">El centroide MAFAPO (v5) se construye a partir de 293 textos de voz directa de víctimas de los falsos positivos, organizados en torno a un núcleo base y dos rondas de ampliación: 25 textos del informe MAFAPO «Unidas por la Memoria y la Verdad» (2021); un conjunto ampliado de testimonios y comunicados de organizaciones de víctimas —MAFAPO, MOVICE, Dejusticia y otras— recopilados entre 2022 y 2026; y 60 segmentos de voz directa de familiares extraídos de audiencias de reconocimiento del Macrocaso 003, transcritos con Whisper large-v3 y filtrados por densidad léxica de testimonio directo. Tras deduplicación, el centroide resultante integra 293 textos únicos. Los segmentos de voz directa reciben un peso ponderado mayor que los textos escritos, por constituir el acto testimonial en su contexto de enunciación original —las audiencias JEP— y por coherencia metodológica con la Capa 3 del framework. El centroide CIDH (v3) se construye análogamente a partir de fragmentos de la jurisprudencia interamericana sobre ejecuciones extrajudiciales en Colombia, representando el polo del derecho internacional de los derechos humanos.</w:t>
      </w:r>
    </w:p>
    <w:p>
      <w:pPr>
        <w:spacing w:after="120" w:line="276"/>
        <w:jc w:val="both"/>
      </w:pPr>
      <w:r>
        <w:rPr>
          <w:sz w:val="22"/>
          <w:szCs w:val="22"/>
        </w:rPr>
        <w:t xml:space="preserve">Teóricamente, esta doble referencia operacionaliza la distinción de Fricker entre las dos formas de injusticia epistémica y su corrección: el centroide MAFAPO representa el recurso hermenéutico construido por las propias víctimas (el mundo de la vida, en términos de Habermas), mientras el centroide CIDH representa el estándar normativo del derecho internacional. La convergencia hacia ambos polos —medida como reducción de las distancias y₈ e y₉— es la traza cuantitativa de la corrección de la injusticia hermenéutica.</w:t>
      </w:r>
    </w:p>
    <w:p>
      <w:pPr>
        <w:pStyle w:val="Heading2"/>
        <w:spacing w:after="100" w:before="200"/>
      </w:pPr>
      <w:r>
        <w:rPr>
          <w:b/>
          <w:bCs/>
          <w:color w:val="1F3864"/>
          <w:sz w:val="26"/>
          <w:szCs w:val="26"/>
        </w:rPr>
        <w:t xml:space="preserve">3.8 Los índices sintéticos: DIS, IEI e ICM</w:t>
      </w:r>
    </w:p>
    <w:p>
      <w:pPr>
        <w:spacing w:after="120" w:line="276"/>
        <w:jc w:val="both"/>
      </w:pPr>
      <w:r>
        <w:rPr>
          <w:sz w:val="22"/>
          <w:szCs w:val="22"/>
        </w:rPr>
        <w:t xml:space="preserve">El framework CFH sintetiza los indicadores de las tres capas en tres índices, cada uno correspondiente a una dimensión conceptualmente distinta del daño: la injusticia discursiva de superficie (DIS), la injusticia epistémica (IEI) y la congruencia multimodal del reconocimiento oral (ICM). La separación de estas tres dimensiones —y la decisión de que los índices no compartan indicadores— es una tesis teórica del proyecto: el daño que el archivo judicial produce sobre las víctimas no es unidimensional, y reducirlo a un único índice ocultaría su estructura.</w:t>
      </w:r>
    </w:p>
    <w:p>
      <w:pPr>
        <w:pStyle w:val="Heading3"/>
        <w:spacing w:after="80" w:before="160"/>
      </w:pPr>
      <w:r>
        <w:rPr>
          <w:b/>
          <w:bCs/>
          <w:color w:val="1F3864"/>
          <w:sz w:val="23"/>
          <w:szCs w:val="23"/>
        </w:rPr>
        <w:t xml:space="preserve">3.8.1 El Índice de Injusticia Discursiva (DIS)</w:t>
      </w:r>
    </w:p>
    <w:p>
      <w:pPr>
        <w:spacing w:after="120" w:line="276"/>
        <w:jc w:val="both"/>
      </w:pPr>
      <w:r>
        <w:rPr>
          <w:sz w:val="22"/>
          <w:szCs w:val="22"/>
        </w:rPr>
        <w:t xml:space="preserve">El Índice de Injusticia Discursiva (DIS) mide los mecanismos discursivos de superficie mediante los cuales el lenguaje judicial invisibiliza el crimen: el eufemismo bélico-institucional que nombra el homicidio como acción militar (EBI), la supresión de agentividad que oculta al responsable (SA), y la ausencia de lenguaje reparador (1−REP). Se define como:</w:t>
      </w:r>
    </w:p>
    <w:p>
      <w:pPr>
        <w:spacing w:after="120"/>
        <w:jc w:val="center"/>
      </w:pPr>
      <w:r>
        <w:rPr>
          <w:b/>
          <w:bCs/>
          <w:i/>
          <w:iCs/>
          <w:sz w:val="23"/>
          <w:szCs w:val="23"/>
        </w:rPr>
        <w:t xml:space="preserve">DIS = 0.40·EBI + 0.30·SA + 0.30·(1 − REP)</w:t>
      </w:r>
    </w:p>
    <w:p>
      <w:pPr>
        <w:spacing w:after="120" w:line="276"/>
        <w:jc w:val="both"/>
      </w:pPr>
      <w:r>
        <w:rPr>
          <w:sz w:val="22"/>
          <w:szCs w:val="22"/>
        </w:rPr>
        <w:t xml:space="preserve">Los pesos son teóricos, no optimizados sobre los datos: reflejan la primacía del eufemismo bélico-institucional (EBI) como mecanismo central de la violencia cultural galtunguiana sobre el vocabulario, complementado por la supresión de agentividad (la dimensión gramatical de la distorsión) y por la ausencia de reparación (la dimensión de reconocimiento fraseriano). Un DIS alto indica un texto que invisibiliza el crimen mediante el vocabulario militar, oculta al responsable y carece de lenguaje reparador.</w:t>
      </w:r>
    </w:p>
    <w:p>
      <w:pPr>
        <w:pStyle w:val="Heading3"/>
        <w:spacing w:after="80" w:before="160"/>
      </w:pPr>
      <w:r>
        <w:rPr>
          <w:b/>
          <w:bCs/>
          <w:color w:val="1F3864"/>
          <w:sz w:val="23"/>
          <w:szCs w:val="23"/>
        </w:rPr>
        <w:t xml:space="preserve">3.8.2 El Índice de Injusticia Epistémica (IEI)</w:t>
      </w:r>
    </w:p>
    <w:p>
      <w:pPr>
        <w:spacing w:after="120" w:line="276"/>
        <w:jc w:val="both"/>
      </w:pPr>
      <w:r>
        <w:rPr>
          <w:sz w:val="22"/>
          <w:szCs w:val="22"/>
        </w:rPr>
        <w:t xml:space="preserve">El Índice de Injusticia Epistémica (IEI) operacionaliza directamente el marco de Fricker (2007), integrando las dos formas de injusticia epistémica en una sola métrica: la injusticia hermenéutica —la distancia al espacio conceptual que las víctimas construyeron para nombrar su experiencia, medida como distancia a los centroides MAFAPO (y₈) y CIDH (y₉)— y la injusticia testimonial —el déficit de credibilidad impuesto al relato de las víctimas, capturado por la Negación de Victimización (y₄). Se define como:</w:t>
      </w:r>
    </w:p>
    <w:p>
      <w:pPr>
        <w:spacing w:after="120"/>
        <w:jc w:val="center"/>
      </w:pPr>
      <w:r>
        <w:rPr>
          <w:b/>
          <w:bCs/>
          <w:i/>
          <w:iCs/>
          <w:sz w:val="23"/>
          <w:szCs w:val="23"/>
        </w:rPr>
        <w:t xml:space="preserve">IEI = 0.40·MAFAPO(y₈) + 0.30·CIDH(y₉) + 0.30·NV(y₄)</w:t>
      </w:r>
    </w:p>
    <w:p>
      <w:pPr>
        <w:spacing w:after="120" w:line="276"/>
        <w:jc w:val="both"/>
      </w:pPr>
      <w:r>
        <w:rPr>
          <w:sz w:val="22"/>
          <w:szCs w:val="22"/>
        </w:rPr>
        <w:t xml:space="preserve">La ubicación de la Negación de Victimización (y₄) en el IEI —y no en el DIS— es una decisión teórica fundamentada: la NV no es meramente un mecanismo discursivo de superficie, sino la operacionalización del credibility deficit de la injusticia testimonial de Fricker. Cuando el archivo atribuye a la víctima la identidad de combatiente, no solo distorsiona el vocabulario: descalifica a la víctima como sujeto de conocimiento sobre su propia condición civil. Por eso la NV pertenece conceptualmente a la dimensión epistémica, junto con las distancias semánticas a los polos hermenéuticos de las víctimas.</w:t>
      </w:r>
    </w:p>
    <w:p>
      <w:pPr>
        <w:spacing w:after="120" w:line="276"/>
        <w:jc w:val="both"/>
      </w:pPr>
      <w:r>
        <w:rPr>
          <w:sz w:val="22"/>
          <w:szCs w:val="22"/>
        </w:rPr>
        <w:t xml:space="preserve">La distinción entre el DIS y el IEI es el núcleo de la contribución conceptual del framework. El DIS captura la superficie discursiva —cómo se dice—; el IEI captura la dimensión epistémica —si se reconoce a la víctima como sujeto de conocimiento y se adopta su lenguaje. Ambos índices no comparten indicadores, lo que garantiza que midan dimensiones conceptualmente independientes. La evidencia empírica de esa independencia se presenta en el Capítulo 5.</w:t>
      </w:r>
    </w:p>
    <w:p>
      <w:pPr>
        <w:pStyle w:val="Heading3"/>
        <w:spacing w:after="80" w:before="160"/>
      </w:pPr>
      <w:r>
        <w:rPr>
          <w:b/>
          <w:bCs/>
          <w:color w:val="1F3864"/>
          <w:sz w:val="23"/>
          <w:szCs w:val="23"/>
        </w:rPr>
        <w:t xml:space="preserve">3.8.3 El Índice de Congruencia Multimodal (ICM)</w:t>
      </w:r>
    </w:p>
    <w:p>
      <w:pPr>
        <w:spacing w:after="120" w:line="276"/>
        <w:jc w:val="both"/>
      </w:pPr>
      <w:r>
        <w:rPr>
          <w:sz w:val="22"/>
          <w:szCs w:val="22"/>
        </w:rPr>
        <w:t xml:space="preserve">El Índice de Congruencia Multimodal (ICM) es la contribución que operacionaliza el concepto de reconocimiento genuino de Zehr y Fraser en el registro oral. Mide la coherencia entre los tres canales de comunicación presentes en las audiencias de reconocimiento: el canal verbal (lo que el compareciente dice), el canal vocal (cómo lo dice —prosodia) y el canal facial (cómo lo expresa —Action Units). Un ICM alto (congruente) indica que los tres canales apuntan en la misma dirección; un ICM bajo (incongruente) señala reconocimiento performativo: las palabras dicen reconocimiento pero la voz o el rostro no lo acompañan.</w:t>
      </w:r>
    </w:p>
    <w:p>
      <w:pPr>
        <w:spacing w:after="120" w:line="276"/>
        <w:jc w:val="both"/>
      </w:pPr>
      <w:r>
        <w:rPr>
          <w:b/>
          <w:bCs/>
          <w:sz w:val="22"/>
          <w:szCs w:val="22"/>
        </w:rPr>
        <w:t xml:space="preserve">Límites epistemológicos del ICM. </w:t>
      </w:r>
      <w:r>
        <w:rPr>
          <w:sz w:val="22"/>
          <w:szCs w:val="22"/>
        </w:rPr>
        <w:t xml:space="preserve">Es imprescindible declarar los límites del ICM. Conforme a Barrett et al. (2019), las configuraciones faciales no decodifican estados emocionales internos de manera universal ni directa. Crivelli y Fridlund (2018) argumentan que las expresiones son actos comunicativos contextuales, y Reisenzein et al. (2013) confirman que la coherencia emoción-expresión es baja incluso en emoción genuina. Por estas razones, el ICM no mide sinceridad, autenticidad psicológica individual ni culpa: es una medida de congruencia entre señales comunicativas multimodales a nivel del compareciente. Adicionalmente, conforme a Sen et al. (2024), los modelos entrenados en contextos low-stakes no transfieren a high-stakes; por ello la CFH calibra el ICM desde el propio corpus del Macrocaso 003, y los modelos faciales no han sido auditados sobre rostros mestizos o afrocolombianos (Buolamwini y Gebru, 2018).</w:t>
      </w:r>
    </w:p>
    <w:p>
      <w:pPr>
        <w:pStyle w:val="Heading3"/>
        <w:spacing w:after="80" w:before="160"/>
      </w:pPr>
      <w:r>
        <w:rPr>
          <w:b/>
          <w:bCs/>
          <w:color w:val="1F3864"/>
          <w:sz w:val="23"/>
          <w:szCs w:val="23"/>
        </w:rPr>
        <w:t xml:space="preserve">3.8.4 Tabla de indicadores del framework</w:t>
      </w:r>
    </w:p>
    <w:p>
      <w:pPr>
        <w:spacing w:after="60" w:before="60"/>
      </w:pPr>
      <w:r>
        <w:rPr>
          <w:i/>
          <w:iCs/>
          <w:color w:val="595959"/>
          <w:sz w:val="19"/>
          <w:szCs w:val="19"/>
        </w:rPr>
        <w:t xml:space="preserve">Tabla 3.2. Indicadores del framework CFH y su asignación a los índices sintéticos (formulación definitiva). Los indicadores y₅, y₆ y y₇ se calculan con fines descriptivos y no integran los índices.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1700"/>
        <w:gridCol w:w="1360"/>
        <w:gridCol w:w="2500"/>
      </w:tblGrid>
      <w:tr>
        <w:trPr>
          <w:tblHeader/>
        </w:trPr>
        <w:tc>
          <w:tcPr>
            <w:tcW w:type="dxa" w:w="1100"/>
            <w:shd w:fill="1F3864" w:val="clear"/>
          </w:tcPr>
          <w:p>
            <w:pPr>
              <w:jc w:val="center"/>
            </w:pPr>
            <w:r>
              <w:rPr>
                <w:b/>
                <w:bCs/>
                <w:color w:val="FFFFFF"/>
                <w:sz w:val="19"/>
                <w:szCs w:val="19"/>
              </w:rPr>
              <w:t xml:space="preserve">Código</w:t>
            </w:r>
          </w:p>
        </w:tc>
        <w:tc>
          <w:tcPr>
            <w:tcW w:type="dxa" w:w="2700"/>
            <w:shd w:fill="1F3864" w:val="clear"/>
          </w:tcPr>
          <w:p>
            <w:pPr>
              <w:jc w:val="center"/>
            </w:pPr>
            <w:r>
              <w:rPr>
                <w:b/>
                <w:bCs/>
                <w:color w:val="FFFFFF"/>
                <w:sz w:val="19"/>
                <w:szCs w:val="19"/>
              </w:rPr>
              <w:t xml:space="preserve">Indicador</w:t>
            </w:r>
          </w:p>
        </w:tc>
        <w:tc>
          <w:tcPr>
            <w:tcW w:type="dxa" w:w="1700"/>
            <w:shd w:fill="1F3864" w:val="clear"/>
          </w:tcPr>
          <w:p>
            <w:pPr>
              <w:jc w:val="center"/>
            </w:pPr>
            <w:r>
              <w:rPr>
                <w:b/>
                <w:bCs/>
                <w:color w:val="FFFFFF"/>
                <w:sz w:val="19"/>
                <w:szCs w:val="19"/>
              </w:rPr>
              <w:t xml:space="preserve">Índice</w:t>
            </w:r>
          </w:p>
        </w:tc>
        <w:tc>
          <w:tcPr>
            <w:tcW w:type="dxa" w:w="1360"/>
            <w:shd w:fill="1F3864" w:val="clear"/>
          </w:tcPr>
          <w:p>
            <w:pPr>
              <w:jc w:val="center"/>
            </w:pPr>
            <w:r>
              <w:rPr>
                <w:b/>
                <w:bCs/>
                <w:color w:val="FFFFFF"/>
                <w:sz w:val="19"/>
                <w:szCs w:val="19"/>
              </w:rPr>
              <w:t xml:space="preserve">Corpus</w:t>
            </w:r>
          </w:p>
        </w:tc>
        <w:tc>
          <w:tcPr>
            <w:tcW w:type="dxa" w:w="2500"/>
            <w:shd w:fill="1F3864" w:val="clear"/>
          </w:tcPr>
          <w:p>
            <w:pPr>
              <w:jc w:val="center"/>
            </w:pPr>
            <w:r>
              <w:rPr>
                <w:b/>
                <w:bCs/>
                <w:color w:val="FFFFFF"/>
                <w:sz w:val="19"/>
                <w:szCs w:val="19"/>
              </w:rPr>
              <w:t xml:space="preserve">Herramienta</w:t>
            </w:r>
          </w:p>
        </w:tc>
      </w:tr>
      <w:tr>
        <w:tc>
          <w:tcPr>
            <w:tcW w:type="dxa" w:w="1100"/>
            <w:shd w:fill="FFFFFF" w:val="clear"/>
          </w:tcPr>
          <w:p>
            <w:pPr>
              <w:jc w:val="left"/>
            </w:pPr>
            <w:r>
              <w:rPr>
                <w:b/>
                <w:bCs/>
                <w:sz w:val="19"/>
                <w:szCs w:val="19"/>
              </w:rPr>
              <w:t xml:space="preserve">y₁</w:t>
            </w:r>
          </w:p>
        </w:tc>
        <w:tc>
          <w:tcPr>
            <w:tcW w:type="dxa" w:w="2700"/>
            <w:shd w:fill="FFFFFF" w:val="clear"/>
          </w:tcPr>
          <w:p>
            <w:pPr>
              <w:jc w:val="center"/>
            </w:pPr>
            <w:r>
              <w:rPr>
                <w:b w:val="false"/>
                <w:bCs w:val="false"/>
                <w:sz w:val="19"/>
                <w:szCs w:val="19"/>
              </w:rPr>
              <w:t xml:space="preserve">EBI Score</w:t>
            </w:r>
          </w:p>
        </w:tc>
        <w:tc>
          <w:tcPr>
            <w:tcW w:type="dxa" w:w="1700"/>
            <w:shd w:fill="FFFFFF" w:val="clear"/>
          </w:tcPr>
          <w:p>
            <w:pPr>
              <w:jc w:val="center"/>
            </w:pPr>
            <w:r>
              <w:rPr>
                <w:b w:val="false"/>
                <w:bCs w:val="false"/>
                <w:sz w:val="19"/>
                <w:szCs w:val="19"/>
              </w:rPr>
              <w:t xml:space="preserve">DIS</w:t>
            </w:r>
          </w:p>
        </w:tc>
        <w:tc>
          <w:tcPr>
            <w:tcW w:type="dxa" w:w="1360"/>
            <w:shd w:fill="FFFFFF" w:val="clear"/>
          </w:tcPr>
          <w:p>
            <w:pPr>
              <w:jc w:val="center"/>
            </w:pPr>
            <w:r>
              <w:rPr>
                <w:b w:val="false"/>
                <w:bCs w:val="false"/>
                <w:sz w:val="19"/>
                <w:szCs w:val="19"/>
              </w:rPr>
              <w:t xml:space="preserve">A, B, C</w:t>
            </w:r>
          </w:p>
        </w:tc>
        <w:tc>
          <w:tcPr>
            <w:tcW w:type="dxa" w:w="2500"/>
            <w:shd w:fill="FFFFFF" w:val="clear"/>
          </w:tcPr>
          <w:p>
            <w:pPr>
              <w:jc w:val="center"/>
            </w:pPr>
            <w:r>
              <w:rPr>
                <w:b w:val="false"/>
                <w:bCs w:val="false"/>
                <w:sz w:val="19"/>
                <w:szCs w:val="19"/>
              </w:rPr>
              <w:t xml:space="preserve">Gazetteer + CFH-BERT</w:t>
            </w:r>
          </w:p>
        </w:tc>
      </w:tr>
      <w:tr>
        <w:tc>
          <w:tcPr>
            <w:tcW w:type="dxa" w:w="1100"/>
            <w:shd w:fill="F2F2F2" w:val="clear"/>
          </w:tcPr>
          <w:p>
            <w:pPr>
              <w:jc w:val="left"/>
            </w:pPr>
            <w:r>
              <w:rPr>
                <w:b/>
                <w:bCs/>
                <w:sz w:val="19"/>
                <w:szCs w:val="19"/>
              </w:rPr>
              <w:t xml:space="preserve">y₂</w:t>
            </w:r>
          </w:p>
        </w:tc>
        <w:tc>
          <w:tcPr>
            <w:tcW w:type="dxa" w:w="2700"/>
            <w:shd w:fill="F2F2F2" w:val="clear"/>
          </w:tcPr>
          <w:p>
            <w:pPr>
              <w:jc w:val="center"/>
            </w:pPr>
            <w:r>
              <w:rPr>
                <w:b w:val="false"/>
                <w:bCs w:val="false"/>
                <w:sz w:val="19"/>
                <w:szCs w:val="19"/>
              </w:rPr>
              <w:t xml:space="preserve">SA Score</w:t>
            </w:r>
          </w:p>
        </w:tc>
        <w:tc>
          <w:tcPr>
            <w:tcW w:type="dxa" w:w="1700"/>
            <w:shd w:fill="F2F2F2" w:val="clear"/>
          </w:tcPr>
          <w:p>
            <w:pPr>
              <w:jc w:val="center"/>
            </w:pPr>
            <w:r>
              <w:rPr>
                <w:b w:val="false"/>
                <w:bCs w:val="false"/>
                <w:sz w:val="19"/>
                <w:szCs w:val="19"/>
              </w:rPr>
              <w:t xml:space="preserve">DIS</w:t>
            </w:r>
          </w:p>
        </w:tc>
        <w:tc>
          <w:tcPr>
            <w:tcW w:type="dxa" w:w="1360"/>
            <w:shd w:fill="F2F2F2" w:val="clear"/>
          </w:tcPr>
          <w:p>
            <w:pPr>
              <w:jc w:val="center"/>
            </w:pPr>
            <w:r>
              <w:rPr>
                <w:b w:val="false"/>
                <w:bCs w:val="false"/>
                <w:sz w:val="19"/>
                <w:szCs w:val="19"/>
              </w:rPr>
              <w:t xml:space="preserve">A, B, C</w:t>
            </w:r>
          </w:p>
        </w:tc>
        <w:tc>
          <w:tcPr>
            <w:tcW w:type="dxa" w:w="2500"/>
            <w:shd w:fill="F2F2F2" w:val="clear"/>
          </w:tcPr>
          <w:p>
            <w:pPr>
              <w:jc w:val="center"/>
            </w:pPr>
            <w:r>
              <w:rPr>
                <w:b w:val="false"/>
                <w:bCs w:val="false"/>
                <w:sz w:val="19"/>
                <w:szCs w:val="19"/>
              </w:rPr>
              <w:t xml:space="preserve">spaCy dependency parsing</w:t>
            </w:r>
          </w:p>
        </w:tc>
      </w:tr>
      <w:tr>
        <w:tc>
          <w:tcPr>
            <w:tcW w:type="dxa" w:w="1100"/>
            <w:shd w:fill="FFFFFF" w:val="clear"/>
          </w:tcPr>
          <w:p>
            <w:pPr>
              <w:jc w:val="left"/>
            </w:pPr>
            <w:r>
              <w:rPr>
                <w:b/>
                <w:bCs/>
                <w:sz w:val="19"/>
                <w:szCs w:val="19"/>
              </w:rPr>
              <w:t xml:space="preserve">y₄</w:t>
            </w:r>
          </w:p>
        </w:tc>
        <w:tc>
          <w:tcPr>
            <w:tcW w:type="dxa" w:w="2700"/>
            <w:shd w:fill="FFFFFF" w:val="clear"/>
          </w:tcPr>
          <w:p>
            <w:pPr>
              <w:jc w:val="center"/>
            </w:pPr>
            <w:r>
              <w:rPr>
                <w:b w:val="false"/>
                <w:bCs w:val="false"/>
                <w:sz w:val="19"/>
                <w:szCs w:val="19"/>
              </w:rPr>
              <w:t xml:space="preserve">NV Score</w:t>
            </w:r>
          </w:p>
        </w:tc>
        <w:tc>
          <w:tcPr>
            <w:tcW w:type="dxa" w:w="1700"/>
            <w:shd w:fill="FFFFFF" w:val="clear"/>
          </w:tcPr>
          <w:p>
            <w:pPr>
              <w:jc w:val="center"/>
            </w:pPr>
            <w:r>
              <w:rPr>
                <w:b w:val="false"/>
                <w:bCs w:val="false"/>
                <w:sz w:val="19"/>
                <w:szCs w:val="19"/>
              </w:rPr>
              <w:t xml:space="preserve">IEI</w:t>
            </w:r>
          </w:p>
        </w:tc>
        <w:tc>
          <w:tcPr>
            <w:tcW w:type="dxa" w:w="1360"/>
            <w:shd w:fill="FFFFFF" w:val="clear"/>
          </w:tcPr>
          <w:p>
            <w:pPr>
              <w:jc w:val="center"/>
            </w:pPr>
            <w:r>
              <w:rPr>
                <w:b w:val="false"/>
                <w:bCs w:val="false"/>
                <w:sz w:val="19"/>
                <w:szCs w:val="19"/>
              </w:rPr>
              <w:t xml:space="preserve">A, B, C</w:t>
            </w:r>
          </w:p>
        </w:tc>
        <w:tc>
          <w:tcPr>
            <w:tcW w:type="dxa" w:w="2500"/>
            <w:shd w:fill="FFFFFF" w:val="clear"/>
          </w:tcPr>
          <w:p>
            <w:pPr>
              <w:jc w:val="center"/>
            </w:pPr>
            <w:r>
              <w:rPr>
                <w:b w:val="false"/>
                <w:bCs w:val="false"/>
                <w:sz w:val="19"/>
                <w:szCs w:val="19"/>
              </w:rPr>
              <w:t xml:space="preserve">CFH-BERT v2 (IO tagging)</w:t>
            </w:r>
          </w:p>
        </w:tc>
      </w:tr>
      <w:tr>
        <w:tc>
          <w:tcPr>
            <w:tcW w:type="dxa" w:w="1100"/>
            <w:shd w:fill="F2F2F2" w:val="clear"/>
          </w:tcPr>
          <w:p>
            <w:pPr>
              <w:jc w:val="left"/>
            </w:pPr>
            <w:r>
              <w:rPr>
                <w:b/>
                <w:bCs/>
                <w:sz w:val="19"/>
                <w:szCs w:val="19"/>
              </w:rPr>
              <w:t xml:space="preserve">y₈</w:t>
            </w:r>
          </w:p>
        </w:tc>
        <w:tc>
          <w:tcPr>
            <w:tcW w:type="dxa" w:w="2700"/>
            <w:shd w:fill="F2F2F2" w:val="clear"/>
          </w:tcPr>
          <w:p>
            <w:pPr>
              <w:jc w:val="center"/>
            </w:pPr>
            <w:r>
              <w:rPr>
                <w:b w:val="false"/>
                <w:bCs w:val="false"/>
                <w:sz w:val="19"/>
                <w:szCs w:val="19"/>
              </w:rPr>
              <w:t xml:space="preserve">Dist. MAFAPO</w:t>
            </w:r>
          </w:p>
        </w:tc>
        <w:tc>
          <w:tcPr>
            <w:tcW w:type="dxa" w:w="1700"/>
            <w:shd w:fill="F2F2F2" w:val="clear"/>
          </w:tcPr>
          <w:p>
            <w:pPr>
              <w:jc w:val="center"/>
            </w:pPr>
            <w:r>
              <w:rPr>
                <w:b w:val="false"/>
                <w:bCs w:val="false"/>
                <w:sz w:val="19"/>
                <w:szCs w:val="19"/>
              </w:rPr>
              <w:t xml:space="preserve">IEI</w:t>
            </w:r>
          </w:p>
        </w:tc>
        <w:tc>
          <w:tcPr>
            <w:tcW w:type="dxa" w:w="1360"/>
            <w:shd w:fill="F2F2F2" w:val="clear"/>
          </w:tcPr>
          <w:p>
            <w:pPr>
              <w:jc w:val="center"/>
            </w:pPr>
            <w:r>
              <w:rPr>
                <w:b w:val="false"/>
                <w:bCs w:val="false"/>
                <w:sz w:val="19"/>
                <w:szCs w:val="19"/>
              </w:rPr>
              <w:t xml:space="preserve">A, B, C</w:t>
            </w:r>
          </w:p>
        </w:tc>
        <w:tc>
          <w:tcPr>
            <w:tcW w:type="dxa" w:w="2500"/>
            <w:shd w:fill="F2F2F2" w:val="clear"/>
          </w:tcPr>
          <w:p>
            <w:pPr>
              <w:jc w:val="center"/>
            </w:pPr>
            <w:r>
              <w:rPr>
                <w:b w:val="false"/>
                <w:bCs w:val="false"/>
                <w:sz w:val="19"/>
                <w:szCs w:val="19"/>
              </w:rPr>
              <w:t xml:space="preserve">ConfliBERT-Spanish cosine</w:t>
            </w:r>
          </w:p>
        </w:tc>
      </w:tr>
      <w:tr>
        <w:tc>
          <w:tcPr>
            <w:tcW w:type="dxa" w:w="1100"/>
            <w:shd w:fill="FFFFFF" w:val="clear"/>
          </w:tcPr>
          <w:p>
            <w:pPr>
              <w:jc w:val="left"/>
            </w:pPr>
            <w:r>
              <w:rPr>
                <w:b/>
                <w:bCs/>
                <w:sz w:val="19"/>
                <w:szCs w:val="19"/>
              </w:rPr>
              <w:t xml:space="preserve">y₉</w:t>
            </w:r>
          </w:p>
        </w:tc>
        <w:tc>
          <w:tcPr>
            <w:tcW w:type="dxa" w:w="2700"/>
            <w:shd w:fill="FFFFFF" w:val="clear"/>
          </w:tcPr>
          <w:p>
            <w:pPr>
              <w:jc w:val="center"/>
            </w:pPr>
            <w:r>
              <w:rPr>
                <w:b w:val="false"/>
                <w:bCs w:val="false"/>
                <w:sz w:val="19"/>
                <w:szCs w:val="19"/>
              </w:rPr>
              <w:t xml:space="preserve">Dist. CIDH</w:t>
            </w:r>
          </w:p>
        </w:tc>
        <w:tc>
          <w:tcPr>
            <w:tcW w:type="dxa" w:w="1700"/>
            <w:shd w:fill="FFFFFF" w:val="clear"/>
          </w:tcPr>
          <w:p>
            <w:pPr>
              <w:jc w:val="center"/>
            </w:pPr>
            <w:r>
              <w:rPr>
                <w:b w:val="false"/>
                <w:bCs w:val="false"/>
                <w:sz w:val="19"/>
                <w:szCs w:val="19"/>
              </w:rPr>
              <w:t xml:space="preserve">IEI</w:t>
            </w:r>
          </w:p>
        </w:tc>
        <w:tc>
          <w:tcPr>
            <w:tcW w:type="dxa" w:w="1360"/>
            <w:shd w:fill="FFFFFF" w:val="clear"/>
          </w:tcPr>
          <w:p>
            <w:pPr>
              <w:jc w:val="center"/>
            </w:pPr>
            <w:r>
              <w:rPr>
                <w:b w:val="false"/>
                <w:bCs w:val="false"/>
                <w:sz w:val="19"/>
                <w:szCs w:val="19"/>
              </w:rPr>
              <w:t xml:space="preserve">A, B, C</w:t>
            </w:r>
          </w:p>
        </w:tc>
        <w:tc>
          <w:tcPr>
            <w:tcW w:type="dxa" w:w="2500"/>
            <w:shd w:fill="FFFFFF" w:val="clear"/>
          </w:tcPr>
          <w:p>
            <w:pPr>
              <w:jc w:val="center"/>
            </w:pPr>
            <w:r>
              <w:rPr>
                <w:b w:val="false"/>
                <w:bCs w:val="false"/>
                <w:sz w:val="19"/>
                <w:szCs w:val="19"/>
              </w:rPr>
              <w:t xml:space="preserve">ConfliBERT-Spanish cosine</w:t>
            </w:r>
          </w:p>
        </w:tc>
      </w:tr>
      <w:tr>
        <w:tc>
          <w:tcPr>
            <w:tcW w:type="dxa" w:w="1100"/>
            <w:shd w:fill="F2F2F2" w:val="clear"/>
          </w:tcPr>
          <w:p>
            <w:pPr>
              <w:jc w:val="left"/>
            </w:pPr>
            <w:r>
              <w:rPr>
                <w:b/>
                <w:bCs/>
                <w:sz w:val="19"/>
                <w:szCs w:val="19"/>
              </w:rPr>
              <w:t xml:space="preserve">y₁₀</w:t>
            </w:r>
          </w:p>
        </w:tc>
        <w:tc>
          <w:tcPr>
            <w:tcW w:type="dxa" w:w="2700"/>
            <w:shd w:fill="F2F2F2" w:val="clear"/>
          </w:tcPr>
          <w:p>
            <w:pPr>
              <w:jc w:val="center"/>
            </w:pPr>
            <w:r>
              <w:rPr>
                <w:b w:val="false"/>
                <w:bCs w:val="false"/>
                <w:sz w:val="19"/>
                <w:szCs w:val="19"/>
              </w:rPr>
              <w:t xml:space="preserve">REP Score</w:t>
            </w:r>
          </w:p>
        </w:tc>
        <w:tc>
          <w:tcPr>
            <w:tcW w:type="dxa" w:w="1700"/>
            <w:shd w:fill="F2F2F2" w:val="clear"/>
          </w:tcPr>
          <w:p>
            <w:pPr>
              <w:jc w:val="center"/>
            </w:pPr>
            <w:r>
              <w:rPr>
                <w:b w:val="false"/>
                <w:bCs w:val="false"/>
                <w:sz w:val="19"/>
                <w:szCs w:val="19"/>
              </w:rPr>
              <w:t xml:space="preserve">DIS (1−REP)</w:t>
            </w:r>
          </w:p>
        </w:tc>
        <w:tc>
          <w:tcPr>
            <w:tcW w:type="dxa" w:w="1360"/>
            <w:shd w:fill="F2F2F2" w:val="clear"/>
          </w:tcPr>
          <w:p>
            <w:pPr>
              <w:jc w:val="center"/>
            </w:pPr>
            <w:r>
              <w:rPr>
                <w:b w:val="false"/>
                <w:bCs w:val="false"/>
                <w:sz w:val="19"/>
                <w:szCs w:val="19"/>
              </w:rPr>
              <w:t xml:space="preserve">A, B, C</w:t>
            </w:r>
          </w:p>
        </w:tc>
        <w:tc>
          <w:tcPr>
            <w:tcW w:type="dxa" w:w="2500"/>
            <w:shd w:fill="F2F2F2" w:val="clear"/>
          </w:tcPr>
          <w:p>
            <w:pPr>
              <w:jc w:val="center"/>
            </w:pPr>
            <w:r>
              <w:rPr>
                <w:b w:val="false"/>
                <w:bCs w:val="false"/>
                <w:sz w:val="19"/>
                <w:szCs w:val="19"/>
              </w:rPr>
              <w:t xml:space="preserve">CFH-BERT v2 (IO tagging)</w:t>
            </w:r>
          </w:p>
        </w:tc>
      </w:tr>
      <w:tr>
        <w:tc>
          <w:tcPr>
            <w:tcW w:type="dxa" w:w="1100"/>
            <w:shd w:fill="FFFFFF" w:val="clear"/>
          </w:tcPr>
          <w:p>
            <w:pPr>
              <w:jc w:val="left"/>
            </w:pPr>
            <w:r>
              <w:rPr>
                <w:b/>
                <w:bCs/>
                <w:sz w:val="19"/>
                <w:szCs w:val="19"/>
              </w:rPr>
              <w:t xml:space="preserve">y₁₁</w:t>
            </w:r>
          </w:p>
        </w:tc>
        <w:tc>
          <w:tcPr>
            <w:tcW w:type="dxa" w:w="2700"/>
            <w:shd w:fill="FFFFFF" w:val="clear"/>
          </w:tcPr>
          <w:p>
            <w:pPr>
              <w:jc w:val="center"/>
            </w:pPr>
            <w:r>
              <w:rPr>
                <w:b w:val="false"/>
                <w:bCs w:val="false"/>
                <w:sz w:val="19"/>
                <w:szCs w:val="19"/>
              </w:rPr>
              <w:t xml:space="preserve">Densidad dialógica/testimonial</w:t>
            </w:r>
          </w:p>
        </w:tc>
        <w:tc>
          <w:tcPr>
            <w:tcW w:type="dxa" w:w="1700"/>
            <w:shd w:fill="FFFFFF" w:val="clear"/>
          </w:tcPr>
          <w:p>
            <w:pPr>
              <w:jc w:val="center"/>
            </w:pPr>
            <w:r>
              <w:rPr>
                <w:b w:val="false"/>
                <w:bCs w:val="false"/>
                <w:sz w:val="19"/>
                <w:szCs w:val="19"/>
              </w:rPr>
              <w:t xml:space="preserve">(transición ep.)</w:t>
            </w:r>
          </w:p>
        </w:tc>
        <w:tc>
          <w:tcPr>
            <w:tcW w:type="dxa" w:w="1360"/>
            <w:shd w:fill="FFFFFF" w:val="clear"/>
          </w:tcPr>
          <w:p>
            <w:pPr>
              <w:jc w:val="center"/>
            </w:pPr>
            <w:r>
              <w:rPr>
                <w:b w:val="false"/>
                <w:bCs w:val="false"/>
                <w:sz w:val="19"/>
                <w:szCs w:val="19"/>
              </w:rPr>
              <w:t xml:space="preserve">C</w:t>
            </w:r>
          </w:p>
        </w:tc>
        <w:tc>
          <w:tcPr>
            <w:tcW w:type="dxa" w:w="2500"/>
            <w:shd w:fill="FFFFFF" w:val="clear"/>
          </w:tcPr>
          <w:p>
            <w:pPr>
              <w:jc w:val="center"/>
            </w:pPr>
            <w:r>
              <w:rPr>
                <w:b w:val="false"/>
                <w:bCs w:val="false"/>
                <w:sz w:val="19"/>
                <w:szCs w:val="19"/>
              </w:rPr>
              <w:t xml:space="preserve">Densidad léxica</w:t>
            </w:r>
          </w:p>
        </w:tc>
      </w:tr>
      <w:tr>
        <w:tc>
          <w:tcPr>
            <w:tcW w:type="dxa" w:w="1100"/>
            <w:shd w:fill="F2F2F2" w:val="clear"/>
          </w:tcPr>
          <w:p>
            <w:pPr>
              <w:jc w:val="left"/>
            </w:pPr>
            <w:r>
              <w:rPr>
                <w:b/>
                <w:bCs/>
                <w:sz w:val="19"/>
                <w:szCs w:val="19"/>
              </w:rPr>
              <w:t xml:space="preserve">ICM</w:t>
            </w:r>
          </w:p>
        </w:tc>
        <w:tc>
          <w:tcPr>
            <w:tcW w:type="dxa" w:w="2700"/>
            <w:shd w:fill="F2F2F2" w:val="clear"/>
          </w:tcPr>
          <w:p>
            <w:pPr>
              <w:jc w:val="center"/>
            </w:pPr>
            <w:r>
              <w:rPr>
                <w:b w:val="false"/>
                <w:bCs w:val="false"/>
                <w:sz w:val="19"/>
                <w:szCs w:val="19"/>
              </w:rPr>
              <w:t xml:space="preserve">Congruencia multimodal</w:t>
            </w:r>
          </w:p>
        </w:tc>
        <w:tc>
          <w:tcPr>
            <w:tcW w:type="dxa" w:w="1700"/>
            <w:shd w:fill="F2F2F2" w:val="clear"/>
          </w:tcPr>
          <w:p>
            <w:pPr>
              <w:jc w:val="center"/>
            </w:pPr>
            <w:r>
              <w:rPr>
                <w:b w:val="false"/>
                <w:bCs w:val="false"/>
                <w:sz w:val="19"/>
                <w:szCs w:val="19"/>
              </w:rPr>
              <w:t xml:space="preserve">ICM</w:t>
            </w:r>
          </w:p>
        </w:tc>
        <w:tc>
          <w:tcPr>
            <w:tcW w:type="dxa" w:w="1360"/>
            <w:shd w:fill="F2F2F2" w:val="clear"/>
          </w:tcPr>
          <w:p>
            <w:pPr>
              <w:jc w:val="center"/>
            </w:pPr>
            <w:r>
              <w:rPr>
                <w:b w:val="false"/>
                <w:bCs w:val="false"/>
                <w:sz w:val="19"/>
                <w:szCs w:val="19"/>
              </w:rPr>
              <w:t xml:space="preserve">C</w:t>
            </w:r>
          </w:p>
        </w:tc>
        <w:tc>
          <w:tcPr>
            <w:tcW w:type="dxa" w:w="2500"/>
            <w:shd w:fill="F2F2F2" w:val="clear"/>
          </w:tcPr>
          <w:p>
            <w:pPr>
              <w:jc w:val="center"/>
            </w:pPr>
            <w:r>
              <w:rPr>
                <w:b w:val="false"/>
                <w:bCs w:val="false"/>
                <w:sz w:val="19"/>
                <w:szCs w:val="19"/>
              </w:rPr>
              <w:t xml:space="preserve">OpenSMILE + MediaPipe</w:t>
            </w:r>
          </w:p>
        </w:tc>
      </w:tr>
      <w:tr>
        <w:tc>
          <w:tcPr>
            <w:tcW w:type="dxa" w:w="1100"/>
            <w:shd w:fill="FFFFFF" w:val="clear"/>
          </w:tcPr>
          <w:p>
            <w:pPr>
              <w:jc w:val="left"/>
            </w:pPr>
            <w:r>
              <w:rPr>
                <w:b/>
                <w:bCs/>
                <w:sz w:val="19"/>
                <w:szCs w:val="19"/>
              </w:rPr>
              <w:t xml:space="preserve">y₇</w:t>
            </w:r>
          </w:p>
        </w:tc>
        <w:tc>
          <w:tcPr>
            <w:tcW w:type="dxa" w:w="2700"/>
            <w:shd w:fill="FFFFFF" w:val="clear"/>
          </w:tcPr>
          <w:p>
            <w:pPr>
              <w:jc w:val="center"/>
            </w:pPr>
            <w:r>
              <w:rPr>
                <w:b w:val="false"/>
                <w:bCs w:val="false"/>
                <w:sz w:val="19"/>
                <w:szCs w:val="19"/>
              </w:rPr>
              <w:t xml:space="preserve">Surprisal contrastivo</w:t>
            </w:r>
          </w:p>
        </w:tc>
        <w:tc>
          <w:tcPr>
            <w:tcW w:type="dxa" w:w="1700"/>
            <w:shd w:fill="FFFFFF" w:val="clear"/>
          </w:tcPr>
          <w:p>
            <w:pPr>
              <w:jc w:val="center"/>
            </w:pPr>
            <w:r>
              <w:rPr>
                <w:b w:val="false"/>
                <w:bCs w:val="false"/>
                <w:sz w:val="19"/>
                <w:szCs w:val="19"/>
              </w:rPr>
              <w:t xml:space="preserve">descriptivo</w:t>
            </w:r>
          </w:p>
        </w:tc>
        <w:tc>
          <w:tcPr>
            <w:tcW w:type="dxa" w:w="1360"/>
            <w:shd w:fill="FFFFFF" w:val="clear"/>
          </w:tcPr>
          <w:p>
            <w:pPr>
              <w:jc w:val="center"/>
            </w:pPr>
            <w:r>
              <w:rPr>
                <w:b w:val="false"/>
                <w:bCs w:val="false"/>
                <w:sz w:val="19"/>
                <w:szCs w:val="19"/>
              </w:rPr>
              <w:t xml:space="preserve">A, B, C</w:t>
            </w:r>
          </w:p>
        </w:tc>
        <w:tc>
          <w:tcPr>
            <w:tcW w:type="dxa" w:w="2500"/>
            <w:shd w:fill="FFFFFF" w:val="clear"/>
          </w:tcPr>
          <w:p>
            <w:pPr>
              <w:jc w:val="center"/>
            </w:pPr>
            <w:r>
              <w:rPr>
                <w:b w:val="false"/>
                <w:bCs w:val="false"/>
                <w:sz w:val="19"/>
                <w:szCs w:val="19"/>
              </w:rPr>
              <w:t xml:space="preserve">BETO − ConfliBERT (PLL)</w:t>
            </w:r>
          </w:p>
        </w:tc>
      </w:tr>
      <w:tr>
        <w:tc>
          <w:tcPr>
            <w:tcW w:type="dxa" w:w="1100"/>
            <w:shd w:fill="F2F2F2" w:val="clear"/>
          </w:tcPr>
          <w:p>
            <w:pPr>
              <w:jc w:val="left"/>
            </w:pPr>
            <w:r>
              <w:rPr>
                <w:b/>
                <w:bCs/>
                <w:sz w:val="19"/>
                <w:szCs w:val="19"/>
              </w:rPr>
              <w:t xml:space="preserve">y₅</w:t>
            </w:r>
          </w:p>
        </w:tc>
        <w:tc>
          <w:tcPr>
            <w:tcW w:type="dxa" w:w="2700"/>
            <w:shd w:fill="F2F2F2" w:val="clear"/>
          </w:tcPr>
          <w:p>
            <w:pPr>
              <w:jc w:val="center"/>
            </w:pPr>
            <w:r>
              <w:rPr>
                <w:b w:val="false"/>
                <w:bCs w:val="false"/>
                <w:sz w:val="19"/>
                <w:szCs w:val="19"/>
              </w:rPr>
              <w:t xml:space="preserve">Tipo de corpus</w:t>
            </w:r>
          </w:p>
        </w:tc>
        <w:tc>
          <w:tcPr>
            <w:tcW w:type="dxa" w:w="1700"/>
            <w:shd w:fill="F2F2F2" w:val="clear"/>
          </w:tcPr>
          <w:p>
            <w:pPr>
              <w:jc w:val="center"/>
            </w:pPr>
            <w:r>
              <w:rPr>
                <w:b w:val="false"/>
                <w:bCs w:val="false"/>
                <w:sz w:val="19"/>
                <w:szCs w:val="19"/>
              </w:rPr>
              <w:t xml:space="preserve">descriptivo</w:t>
            </w:r>
          </w:p>
        </w:tc>
        <w:tc>
          <w:tcPr>
            <w:tcW w:type="dxa" w:w="1360"/>
            <w:shd w:fill="F2F2F2" w:val="clear"/>
          </w:tcPr>
          <w:p>
            <w:pPr>
              <w:jc w:val="center"/>
            </w:pPr>
            <w:r>
              <w:rPr>
                <w:b w:val="false"/>
                <w:bCs w:val="false"/>
                <w:sz w:val="19"/>
                <w:szCs w:val="19"/>
              </w:rPr>
              <w:t xml:space="preserve">A, B, C</w:t>
            </w:r>
          </w:p>
        </w:tc>
        <w:tc>
          <w:tcPr>
            <w:tcW w:type="dxa" w:w="2500"/>
            <w:shd w:fill="F2F2F2" w:val="clear"/>
          </w:tcPr>
          <w:p>
            <w:pPr>
              <w:jc w:val="center"/>
            </w:pPr>
            <w:r>
              <w:rPr>
                <w:b w:val="false"/>
                <w:bCs w:val="false"/>
                <w:sz w:val="19"/>
                <w:szCs w:val="19"/>
              </w:rPr>
              <w:t xml:space="preserve">Variable categórica</w:t>
            </w:r>
          </w:p>
        </w:tc>
      </w:tr>
      <w:tr>
        <w:tc>
          <w:tcPr>
            <w:tcW w:type="dxa" w:w="1100"/>
            <w:shd w:fill="FFFFFF" w:val="clear"/>
          </w:tcPr>
          <w:p>
            <w:pPr>
              <w:jc w:val="left"/>
            </w:pPr>
            <w:r>
              <w:rPr>
                <w:b/>
                <w:bCs/>
                <w:sz w:val="19"/>
                <w:szCs w:val="19"/>
              </w:rPr>
              <w:t xml:space="preserve">y₆</w:t>
            </w:r>
          </w:p>
        </w:tc>
        <w:tc>
          <w:tcPr>
            <w:tcW w:type="dxa" w:w="2700"/>
            <w:shd w:fill="FFFFFF" w:val="clear"/>
          </w:tcPr>
          <w:p>
            <w:pPr>
              <w:jc w:val="center"/>
            </w:pPr>
            <w:r>
              <w:rPr>
                <w:b w:val="false"/>
                <w:bCs w:val="false"/>
                <w:sz w:val="19"/>
                <w:szCs w:val="19"/>
              </w:rPr>
              <w:t xml:space="preserve">Período normativo</w:t>
            </w:r>
          </w:p>
        </w:tc>
        <w:tc>
          <w:tcPr>
            <w:tcW w:type="dxa" w:w="1700"/>
            <w:shd w:fill="FFFFFF" w:val="clear"/>
          </w:tcPr>
          <w:p>
            <w:pPr>
              <w:jc w:val="center"/>
            </w:pPr>
            <w:r>
              <w:rPr>
                <w:b w:val="false"/>
                <w:bCs w:val="false"/>
                <w:sz w:val="19"/>
                <w:szCs w:val="19"/>
              </w:rPr>
              <w:t xml:space="preserve">descriptivo</w:t>
            </w:r>
          </w:p>
        </w:tc>
        <w:tc>
          <w:tcPr>
            <w:tcW w:type="dxa" w:w="1360"/>
            <w:shd w:fill="FFFFFF" w:val="clear"/>
          </w:tcPr>
          <w:p>
            <w:pPr>
              <w:jc w:val="center"/>
            </w:pPr>
            <w:r>
              <w:rPr>
                <w:b w:val="false"/>
                <w:bCs w:val="false"/>
                <w:sz w:val="19"/>
                <w:szCs w:val="19"/>
              </w:rPr>
              <w:t xml:space="preserve">A, B</w:t>
            </w:r>
          </w:p>
        </w:tc>
        <w:tc>
          <w:tcPr>
            <w:tcW w:type="dxa" w:w="2500"/>
            <w:shd w:fill="FFFFFF" w:val="clear"/>
          </w:tcPr>
          <w:p>
            <w:pPr>
              <w:jc w:val="center"/>
            </w:pPr>
            <w:r>
              <w:rPr>
                <w:b w:val="false"/>
                <w:bCs w:val="false"/>
                <w:sz w:val="19"/>
                <w:szCs w:val="19"/>
              </w:rPr>
              <w:t xml:space="preserve">Variable continua (año)</w:t>
            </w:r>
          </w:p>
        </w:tc>
      </w:tr>
    </w:tbl>
    <w:p>
      <w:pPr>
        <w:spacing w:after="120" w:line="276"/>
        <w:jc w:val="both"/>
      </w:pPr>
      <w:r>
        <w:rPr>
          <w:sz w:val="22"/>
          <w:szCs w:val="22"/>
        </w:rPr>
        <w:t xml:space="preserve">La tabla refleja la formulación definitiva del framework: el DIS integra EBI, SA y (1−REP); el IEI integra las distancias MAFAPO y CIDH junto con la NV; y el ICM opera exclusivamente sobre el Corpus C. Los indicadores y₅ (tipo de corpus), y₆ (período normativo) y y₇ (surprisal contrastivo) se calculan y reportan con fines descriptivos, como caracterización del corpus, y no forman parte de la composición de los índices sintéticos.</w:t>
      </w:r>
    </w:p>
    <w:p>
      <w:pPr>
        <w:pStyle w:val="Heading2"/>
        <w:spacing w:after="100" w:before="200"/>
      </w:pPr>
      <w:r>
        <w:rPr>
          <w:b/>
          <w:bCs/>
          <w:color w:val="1F3864"/>
          <w:sz w:val="26"/>
          <w:szCs w:val="26"/>
        </w:rPr>
        <w:t xml:space="preserve">3.9 Fundamentación teórica de la estrategia analítica</w:t>
      </w:r>
    </w:p>
    <w:p>
      <w:pPr>
        <w:spacing w:after="120" w:line="276"/>
        <w:jc w:val="both"/>
      </w:pPr>
      <w:r>
        <w:rPr>
          <w:sz w:val="22"/>
          <w:szCs w:val="22"/>
        </w:rPr>
        <w:t xml:space="preserve">La elección de la estrategia analítica de la CFH no es meramente técnica: cada decisión metodológica responde a una exigencia conceptual del objeto de estudio. Esta sección fundamenta teóricamente por qué la medición de dimensiones independientes, el uso de pesos teóricos, el análisis de senderos, la fiabilidad inter-anotador y el modelado de ecuaciones estructurales son pertinentes —y en varios casos necesarios— para un trabajo de procesamiento de lenguaje natural sobre justicia transicional. El desarrollo procedimental de cada uno se presenta en el Capítulo 4; aquí se argumenta su relevancia conceptual.</w:t>
      </w:r>
    </w:p>
    <w:p>
      <w:pPr>
        <w:pStyle w:val="Heading3"/>
        <w:spacing w:after="80" w:before="160"/>
      </w:pPr>
      <w:r>
        <w:rPr>
          <w:b/>
          <w:bCs/>
          <w:color w:val="1F3864"/>
          <w:sz w:val="23"/>
          <w:szCs w:val="23"/>
        </w:rPr>
        <w:t xml:space="preserve">3.9.1 La independencia dimensional como tesis teórica</w:t>
      </w:r>
    </w:p>
    <w:p>
      <w:pPr>
        <w:spacing w:after="120" w:line="276"/>
        <w:jc w:val="both"/>
      </w:pPr>
      <w:r>
        <w:rPr>
          <w:sz w:val="22"/>
          <w:szCs w:val="22"/>
        </w:rPr>
        <w:t xml:space="preserve">Que el framework produzca tres índices no correlacionados no es un subproducto del diseño sino una tesis sustantiva sobre la naturaleza del daño. La injusticia que el archivo judicial produce sobre las víctimas es un constructo multidimensional: la distorsión discursiva de superficie (cómo se nombra el crimen), la descalificación epistémica (si se reconoce a la víctima como sujeto de conocimiento) y la congruencia del reconocimiento oral (si el perdón es habitado o performativo) son facetas conceptualmente distintas que no tienen por qué covariar. Un discurso puede corregir sus mecanismos gramaticales de superficie sin acortar la distancia al espacio hermenéutico de las víctimas, o exhibir un canal verbal reparador mientras los canales no verbales lo desmienten. La medición de dimensiones separadas —en lugar de un índice global único— es la operacionalización de esta tesis: si el daño fuera unidimensional, un solo índice bastaría; que se requieran tres refleja la estructura real del fenómeno. La evidencia empírica de esta independencia se presenta en el Capítulo 5.</w:t>
      </w:r>
    </w:p>
    <w:p>
      <w:pPr>
        <w:pStyle w:val="Heading3"/>
        <w:spacing w:after="80" w:before="160"/>
      </w:pPr>
      <w:r>
        <w:rPr>
          <w:b/>
          <w:bCs/>
          <w:color w:val="1F3864"/>
          <w:sz w:val="23"/>
          <w:szCs w:val="23"/>
        </w:rPr>
        <w:t xml:space="preserve">3.9.2 Pesos teóricos y parsimonia</w:t>
      </w:r>
    </w:p>
    <w:p>
      <w:pPr>
        <w:spacing w:after="120" w:line="276"/>
        <w:jc w:val="both"/>
      </w:pPr>
      <w:r>
        <w:rPr>
          <w:sz w:val="22"/>
          <w:szCs w:val="22"/>
        </w:rPr>
        <w:t xml:space="preserve">Los pesos de los índices DIS e IEI se derivan de los marcos teóricos —Galtung, Habermas, Fraser y Fricker— y no se optimizan sobre los datos. Esta decisión tiene fundamento conceptual y metodológico. Conceptualmente, anclar los pesos en la teoría preserva la interpretabilidad de los índices: cada componente pesa según su lugar en la arquitectura teórica del daño, no según su capacidad de discriminar en una muestra particular. Metodológicamente, los pesos teóricos evitan el sobreajuste que produciría calibrar los pesos sobre un corpus limitado, garantizando que el índice sea transferible a otros archivos de justicia transicional. El principio de parsimonia opera aquí como criterio de diagnóstico, no de construcción: una vez fijados los pesos teóricos, se verifica que los hallazgos del framework sean robustos a variaciones plausibles de esos pesos —es decir, que no sean artefactos de una especificación particular. La parsimonia confirma la estabilidad del framework; no determina sus pesos. El análisis de robustez correspondiente se presenta en el Capítulo 5.</w:t>
      </w:r>
    </w:p>
    <w:p>
      <w:pPr>
        <w:pStyle w:val="Heading3"/>
        <w:spacing w:after="80" w:before="160"/>
      </w:pPr>
      <w:r>
        <w:rPr>
          <w:b/>
          <w:bCs/>
          <w:color w:val="1F3864"/>
          <w:sz w:val="23"/>
          <w:szCs w:val="23"/>
        </w:rPr>
        <w:t xml:space="preserve">3.9.3 El análisis de senderos: modelar la trayectoria de la transición</w:t>
      </w:r>
    </w:p>
    <w:p>
      <w:pPr>
        <w:spacing w:after="120" w:line="276"/>
        <w:jc w:val="both"/>
      </w:pPr>
      <w:r>
        <w:rPr>
          <w:sz w:val="22"/>
          <w:szCs w:val="22"/>
        </w:rPr>
        <w:t xml:space="preserve">El análisis de senderos (path analysis) es teóricamente pertinente porque la transición epistémica no es un estado sino una trayectoria. La justicia restaurativa (Zehr) y la justicia como reconocimiento (Fraser) conciben la reparación no como un evento aislado sino como el resultado de un proceso: el reconocimiento de la víctima como interlocutora epistémica válida es condición de posibilidad de la reparación genuina. Medir los indicadores por separado captura estados; modelar las relaciones entre ellos captura el proceso. El análisis de senderos permite preguntar si la distancia al lenguaje de las víctimas condiciona la aparición del reconocimiento —es decir, si la corrección de la injusticia hermenéutica antecede y habilita la ruptura epistémica positiva. Esta pregunta es intrínsecamente relacional y no puede responderse midiendo indicadores aislados. En NLP sobre justicia transicional, donde el interés no es solo detectar mecanismos discursivos sino comprender cómo se articulan en el paso de la negación al reconocimiento, el análisis de senderos aporta la capacidad de modelar esa articulación como estructura de dependencias.</w:t>
      </w:r>
    </w:p>
    <w:p>
      <w:pPr>
        <w:pStyle w:val="Heading3"/>
        <w:spacing w:after="80" w:before="160"/>
      </w:pPr>
      <w:r>
        <w:rPr>
          <w:b/>
          <w:bCs/>
          <w:color w:val="1F3864"/>
          <w:sz w:val="23"/>
          <w:szCs w:val="23"/>
        </w:rPr>
        <w:t xml:space="preserve">3.9.4 La fiabilidad inter-anotador como validez intersubjetiva</w:t>
      </w:r>
    </w:p>
    <w:p>
      <w:pPr>
        <w:spacing w:after="120" w:line="276"/>
        <w:jc w:val="both"/>
      </w:pPr>
      <w:r>
        <w:rPr>
          <w:sz w:val="22"/>
          <w:szCs w:val="22"/>
        </w:rPr>
        <w:t xml:space="preserve">La fiabilidad inter-anotador (IAA) no es, en este marco, un mero requisito técnico de validación: es la operacionalización de un principio epistemológico. Los constructos que la CFH mide —el eufemismo bélico, la negación de victimización, la ruptura epistémica positiva— no son categorías neutras sino interpretaciones de fenómenos discursivos cargados de sentido político y moral. Que dos anotadores independientes converjan en su identificación es la garantía de que el constructo posee validez intersubjetiva: que no es una proyección idiosincrática del investigador sino un patrón reconocible del lenguaje. Esta exigencia es especialmente relevante en trabajos sobre justicia transicional, donde la medición de la injusticia debe ser compartible y no impuesta, para no reproducir en el nivel metodológico la misma asimetría epistémica que se denuncia en el objeto de estudio.</w:t>
      </w:r>
    </w:p>
    <w:p>
      <w:pPr>
        <w:spacing w:after="120" w:line="276"/>
        <w:jc w:val="both"/>
      </w:pPr>
      <w:r>
        <w:rPr>
          <w:sz w:val="22"/>
          <w:szCs w:val="22"/>
        </w:rPr>
        <w:t xml:space="preserve">El nivel de acuerdo apropiado para estos constructos merece una precisión teórica. Un acuerdo sustancial —en la escala de Landis y Koch (1977)— y no necesariamente casi perfecto, es el nivel esperable y adecuado para constructos interpretativos de esta naturaleza. La distinción de Zehr entre reconocimiento genuino y performativo, por ejemplo, tiene una frontera intrínsecamente difusa: separar el reconocimiento auténtico del lenguaje jurídico formulaico admite una zona legítima de interpretación razonable. Exigir un acuerdo casi perfecto sobre un constructo que es, por su naturaleza, parcialmente interpretativo, sería teóricamente inadecuado: forzaría una precisión espuria sobre un fenómeno que el propio marco reconoce como matizado. El acuerdo sustancial refleja fielmente que el constructo es reconocible de forma consistente entre anotadores, a la vez que respeta el margen de interpretación inherente al fenómeno.</w:t>
      </w:r>
    </w:p>
    <w:p>
      <w:pPr>
        <w:pStyle w:val="Heading3"/>
        <w:spacing w:after="80" w:before="160"/>
      </w:pPr>
      <w:r>
        <w:rPr>
          <w:b/>
          <w:bCs/>
          <w:color w:val="1F3864"/>
          <w:sz w:val="23"/>
          <w:szCs w:val="23"/>
        </w:rPr>
        <w:t xml:space="preserve">3.9.5 El modelo de ecuaciones estructurales: constructos latentes</w:t>
      </w:r>
    </w:p>
    <w:p>
      <w:pPr>
        <w:spacing w:after="120" w:line="276"/>
        <w:jc w:val="both"/>
      </w:pPr>
      <w:r>
        <w:rPr>
          <w:sz w:val="22"/>
          <w:szCs w:val="22"/>
        </w:rPr>
        <w:t xml:space="preserve">El modelo de ecuaciones estructurales (SEM) es teóricamente pertinente porque los constructos centrales de la CFH son latentes por naturaleza. La injusticia discursiva y la injusticia epistémica no son observables directos: no existe una única variable medible que las capture, sino que se manifiestan a través de múltiples indicadores parciales. Esta es precisamente la estructura que el SEM formaliza —la relación entre variables latentes (los constructos) y sus indicadores observados. La injusticia epistémica de Fricker, en particular, es un constructo latente paradigmático: se infiere de la convergencia de señales léxicas, semánticas y testimoniales, ninguna de las cuales la agota por sí sola. El SEM multigrupo, además, permite formular una pregunta teóricamente central para el diseño comparativo de la tesis: si la estructura del fenómeno —no solo su magnitud— difiere entre la justicia ordinaria y la transicional.</w:t>
      </w:r>
    </w:p>
    <w:p>
      <w:pPr>
        <w:spacing w:after="120" w:line="276"/>
        <w:jc w:val="both"/>
      </w:pPr>
      <w:r>
        <w:rPr>
          <w:sz w:val="22"/>
          <w:szCs w:val="22"/>
        </w:rPr>
        <w:t xml:space="preserve">La limitación muestral del Corpus C (n=47 comparecientes) impone que el modelado con variables latentes se reporte como exploratorio y no confirmatorio. Lejos de ser un defecto del diseño, esta limitación refleja una condición estructural del campo: los corpus de justicia transicional oral son intrínsecamente pequeños —hay un número finito de audiencias de reconocimiento, de comparecientes, de actos testimoniales públicos. La tensión entre la riqueza conceptual del constructo latente y la escasez de datos disponibles es constitutiva de la investigación cuantitativa sobre justicia transicional, y su reconocimiento explícito es una exigencia de honestidad metodológica. Por ello, la CFH complementa el modelado estructural exploratorio con evidencia descriptiva robusta —el contraste inter-corpus y las relaciones entre indicadores observados—, que no depende de la identificación de un modelo latente completo.</w:t>
      </w:r>
    </w:p>
    <w:p>
      <w:pPr>
        <w:pStyle w:val="Heading2"/>
        <w:spacing w:after="100" w:before="200"/>
      </w:pPr>
      <w:r>
        <w:rPr>
          <w:b/>
          <w:bCs/>
          <w:color w:val="1F3864"/>
          <w:sz w:val="26"/>
          <w:szCs w:val="26"/>
        </w:rPr>
        <w:t xml:space="preserve">3.10 Síntesis: la CFH como reparación algorítmica</w:t>
      </w:r>
    </w:p>
    <w:p>
      <w:pPr>
        <w:spacing w:after="120" w:line="276"/>
        <w:jc w:val="both"/>
      </w:pPr>
      <w:r>
        <w:rPr>
          <w:sz w:val="22"/>
          <w:szCs w:val="22"/>
        </w:rPr>
        <w:t xml:space="preserve">El marco teórico desarrollado en este capítulo puede sintetizarse en una proposición central: el archivo judicial colombiano sobre los falsos positivos es un archivo de la violencia cultural —en el sentido de Galtung—, de la falta de reconocimiento —en el sentido de Fraser—, de la colonización sistémica del lenguaje —en el sentido de Habermas— y, articulándolos a todos, de la injusticia epistémica —en el sentido de Fricker. La CFH es una metodología para auditar esa injusticia de manera sistemática, cuantitativa, multimodal y reproducible.</w:t>
      </w:r>
    </w:p>
    <w:p>
      <w:pPr>
        <w:spacing w:after="120" w:line="276"/>
        <w:jc w:val="both"/>
      </w:pPr>
      <w:r>
        <w:rPr>
          <w:sz w:val="22"/>
          <w:szCs w:val="22"/>
        </w:rPr>
        <w:t xml:space="preserve">El concepto de reparación algorítmica denomina esta función: el uso de métodos computacionales para auditar el lenguaje del Estado desde la perspectiva de las víctimas. La reparación algorítmica no reemplaza la reparación real —la documenta, la mide y la audita. Y al hacerlo con un framework replicable, cuya arquitectura de tres capas y tres índices puede aplicarse a archivos de justicia transicional en otros contextos, transforma un caso concreto en un método general para la auditoría del lenguaje del Estado en procesos de posconflicto. La distinción entre injusticia discursiva (DIS), injusticia epistémica (IEI) y congruencia multimodal (ICM) —tres dimensiones empíricamente independientes— es la contribución conceptual que permite que esa auditoría capture la estructura multidimensional del daño, y no una versión aplanada de él.</w:t>
      </w:r>
    </w:p>
    <w:p>
      <w:pPr>
        <w:pStyle w:val="Heading2"/>
        <w:spacing w:after="100" w:before="200"/>
      </w:pPr>
      <w:r>
        <w:rPr>
          <w:b/>
          <w:bCs/>
          <w:color w:val="1F3864"/>
          <w:sz w:val="26"/>
          <w:szCs w:val="26"/>
        </w:rPr>
        <w:t xml:space="preserve">Referencias del capítulo</w:t>
      </w:r>
    </w:p>
    <w:p>
      <w:pPr>
        <w:spacing w:after="80"/>
        <w:ind w:left="360" w:hanging="360"/>
        <w:jc w:val="both"/>
      </w:pPr>
      <w:r>
        <w:rPr>
          <w:sz w:val="20"/>
          <w:szCs w:val="20"/>
        </w:rPr>
        <w:t xml:space="preserve">Baird, A. y Coutinho, E. (2019). Sincerity in Acted Speech: The Sincere Apology Corpus (SinA-C). INTERSPEECH 2019.</w:t>
      </w:r>
    </w:p>
    <w:p>
      <w:pPr>
        <w:spacing w:after="80"/>
        <w:ind w:left="360" w:hanging="360"/>
        <w:jc w:val="both"/>
      </w:pPr>
      <w:r>
        <w:rPr>
          <w:sz w:val="20"/>
          <w:szCs w:val="20"/>
        </w:rPr>
        <w:t xml:space="preserve">Barrett, L. F., Adolphs, R., Marsella, S., Martinez, A. M., y Pollak, S. D. (2019). Emotional Expressions Reconsidered: Challenges to Inferring Emotion From Human Facial Movements. Psychological Science in the Public Interest, 20(1), 1–68.</w:t>
      </w:r>
    </w:p>
    <w:p>
      <w:pPr>
        <w:spacing w:after="80"/>
        <w:ind w:left="360" w:hanging="360"/>
        <w:jc w:val="both"/>
      </w:pPr>
      <w:r>
        <w:rPr>
          <w:sz w:val="20"/>
          <w:szCs w:val="20"/>
        </w:rPr>
        <w:t xml:space="preserve">Boaventura de Sousa Santos, B. (2009). Una epistemología del Sur. Buenos Aires: CLACSO / Siglo XXI.</w:t>
      </w:r>
    </w:p>
    <w:p>
      <w:pPr>
        <w:spacing w:after="80"/>
        <w:ind w:left="360" w:hanging="360"/>
        <w:jc w:val="both"/>
      </w:pPr>
      <w:r>
        <w:rPr>
          <w:sz w:val="20"/>
          <w:szCs w:val="20"/>
        </w:rPr>
        <w:t xml:space="preserve">Buolamwini, J., y Gebru, T. (2018). Gender Shades: Intersectional Accuracy Disparities in Commercial Gender Classification. PMLR, 81, 1–15.</w:t>
      </w:r>
    </w:p>
    <w:p>
      <w:pPr>
        <w:spacing w:after="80"/>
        <w:ind w:left="360" w:hanging="360"/>
        <w:jc w:val="both"/>
      </w:pPr>
      <w:r>
        <w:rPr>
          <w:sz w:val="20"/>
          <w:szCs w:val="20"/>
        </w:rPr>
        <w:t xml:space="preserve">Castillejo-Cuéllar, A. (2016). Poética de lo Otro. Universidad de los Andes.</w:t>
      </w:r>
    </w:p>
    <w:p>
      <w:pPr>
        <w:spacing w:after="80"/>
        <w:ind w:left="360" w:hanging="360"/>
        <w:jc w:val="both"/>
      </w:pPr>
      <w:r>
        <w:rPr>
          <w:sz w:val="20"/>
          <w:szCs w:val="20"/>
        </w:rPr>
        <w:t xml:space="preserve">Crivelli, C., y Fridlund, A. J. (2018). Facial Displays Are Tools for Social Influence. Trends in Cognitive Sciences, 22(5), 388–399.</w:t>
      </w:r>
    </w:p>
    <w:p>
      <w:pPr>
        <w:spacing w:after="80"/>
        <w:ind w:left="360" w:hanging="360"/>
        <w:jc w:val="both"/>
      </w:pPr>
      <w:r>
        <w:rPr>
          <w:sz w:val="20"/>
          <w:szCs w:val="20"/>
        </w:rPr>
        <w:t xml:space="preserve">Dotson, K. (2011). Tracking Epistemic Violence, Tracking Practices of Silencing. Hypatia, 26(2), 236–257.</w:t>
      </w:r>
    </w:p>
    <w:p>
      <w:pPr>
        <w:spacing w:after="80"/>
        <w:ind w:left="360" w:hanging="360"/>
        <w:jc w:val="both"/>
      </w:pPr>
      <w:r>
        <w:rPr>
          <w:sz w:val="20"/>
          <w:szCs w:val="20"/>
        </w:rPr>
        <w:t xml:space="preserve">Fraser, N. (1995). From redistribution to recognition? New Left Review, 212, 68–93.</w:t>
      </w:r>
    </w:p>
    <w:p>
      <w:pPr>
        <w:spacing w:after="80"/>
        <w:ind w:left="360" w:hanging="360"/>
        <w:jc w:val="both"/>
      </w:pPr>
      <w:r>
        <w:rPr>
          <w:sz w:val="20"/>
          <w:szCs w:val="20"/>
        </w:rPr>
        <w:t xml:space="preserve">Fraser, N. (2008). Scales of Justice. Columbia University Press.</w:t>
      </w:r>
    </w:p>
    <w:p>
      <w:pPr>
        <w:spacing w:after="80"/>
        <w:ind w:left="360" w:hanging="360"/>
        <w:jc w:val="both"/>
      </w:pPr>
      <w:r>
        <w:rPr>
          <w:sz w:val="20"/>
          <w:szCs w:val="20"/>
        </w:rPr>
        <w:t xml:space="preserve">Fricker, M. (2007). Epistemic Injustice: Power and the Ethics of Knowing. Oxford University Press.</w:t>
      </w:r>
    </w:p>
    <w:p>
      <w:pPr>
        <w:spacing w:after="80"/>
        <w:ind w:left="360" w:hanging="360"/>
        <w:jc w:val="both"/>
      </w:pPr>
      <w:r>
        <w:rPr>
          <w:sz w:val="20"/>
          <w:szCs w:val="20"/>
        </w:rPr>
        <w:t xml:space="preserve">Galtung, J. (1990). Cultural violence. Journal of Peace Research, 27(3), 291–305.</w:t>
      </w:r>
    </w:p>
    <w:p>
      <w:pPr>
        <w:spacing w:after="80"/>
        <w:ind w:left="360" w:hanging="360"/>
        <w:jc w:val="both"/>
      </w:pPr>
      <w:r>
        <w:rPr>
          <w:sz w:val="20"/>
          <w:szCs w:val="20"/>
        </w:rPr>
        <w:t xml:space="preserve">Habermas, J. (1987). The Theory of Communicative Action, Vol. 2. Beacon Press.</w:t>
      </w:r>
    </w:p>
    <w:p>
      <w:pPr>
        <w:spacing w:after="80"/>
        <w:ind w:left="360" w:hanging="360"/>
        <w:jc w:val="both"/>
      </w:pPr>
      <w:r>
        <w:rPr>
          <w:sz w:val="20"/>
          <w:szCs w:val="20"/>
        </w:rPr>
        <w:t xml:space="preserve">Kline, R. B. (2023). Principles and Practice of Structural Equation Modeling (5.ª ed.). Guilford Press.</w:t>
      </w:r>
    </w:p>
    <w:p>
      <w:pPr>
        <w:spacing w:after="80"/>
        <w:ind w:left="360" w:hanging="360"/>
        <w:jc w:val="both"/>
      </w:pPr>
      <w:r>
        <w:rPr>
          <w:sz w:val="20"/>
          <w:szCs w:val="20"/>
        </w:rPr>
        <w:t xml:space="preserve">Landis, J. R., y Koch, G. G. (1977). The Measurement of Observer Agreement for Categorical Data. Biometrics, 33(1), 159–174.</w:t>
      </w:r>
    </w:p>
    <w:p>
      <w:pPr>
        <w:spacing w:after="80"/>
        <w:ind w:left="360" w:hanging="360"/>
        <w:jc w:val="both"/>
      </w:pPr>
      <w:r>
        <w:rPr>
          <w:sz w:val="20"/>
          <w:szCs w:val="20"/>
        </w:rPr>
        <w:t xml:space="preserve">Páez, A. y Matida, J. (2022). La injusticia epistémica en el proceso penal. Estudios de Filosofía, 65.</w:t>
      </w:r>
    </w:p>
    <w:p>
      <w:pPr>
        <w:spacing w:after="80"/>
        <w:ind w:left="360" w:hanging="360"/>
        <w:jc w:val="both"/>
      </w:pPr>
      <w:r>
        <w:rPr>
          <w:sz w:val="20"/>
          <w:szCs w:val="20"/>
        </w:rPr>
        <w:t xml:space="preserve">Reisenzein, R., Studtmann, M., y Horstmann, G. (2013). Coherence between Emotion and Facial Expression. Emotion Review, 5(1), 16–23.</w:t>
      </w:r>
    </w:p>
    <w:p>
      <w:pPr>
        <w:spacing w:after="80"/>
        <w:ind w:left="360" w:hanging="360"/>
        <w:jc w:val="both"/>
      </w:pPr>
      <w:r>
        <w:rPr>
          <w:sz w:val="20"/>
          <w:szCs w:val="20"/>
        </w:rPr>
        <w:t xml:space="preserve">Rojas-Andrade, G., Bohórquez, S., y Mantilla, A. (2025). False Positives in Colombia: State Violence, Ignorance and the Epistemic Struggles of Victims. ERLACS.</w:t>
      </w:r>
    </w:p>
    <w:p>
      <w:pPr>
        <w:spacing w:after="80"/>
        <w:ind w:left="360" w:hanging="360"/>
        <w:jc w:val="both"/>
      </w:pPr>
      <w:r>
        <w:rPr>
          <w:sz w:val="20"/>
          <w:szCs w:val="20"/>
        </w:rPr>
        <w:t xml:space="preserve">Sen, S., Singh, G., y Varshney, P. (2024). Deception detection using machine learning. Expert Systems with Applications, 213, 119048.</w:t>
      </w:r>
    </w:p>
    <w:p>
      <w:pPr>
        <w:spacing w:after="80"/>
        <w:ind w:left="360" w:hanging="360"/>
        <w:jc w:val="both"/>
      </w:pPr>
      <w:r>
        <w:rPr>
          <w:sz w:val="20"/>
          <w:szCs w:val="20"/>
        </w:rPr>
        <w:t xml:space="preserve">Wolf, A. (2022). Presumed guilty until proven credible. Estudios de Filosofía, 66.</w:t>
      </w:r>
    </w:p>
    <w:p>
      <w:pPr>
        <w:spacing w:after="80"/>
        <w:ind w:left="360" w:hanging="360"/>
        <w:jc w:val="both"/>
      </w:pPr>
      <w:r>
        <w:rPr>
          <w:sz w:val="20"/>
          <w:szCs w:val="20"/>
        </w:rPr>
        <w:t xml:space="preserve">Zehr, H. (2002). The Little Book of Restorative Justice. Good Books.</w:t>
      </w:r>
    </w:p>
    <w:p>
      <w:r>
        <w:br w:type="page"/>
      </w:r>
    </w:p>
    <w:p>
      <w:pPr>
        <w:pStyle w:val="Heading1"/>
        <w:spacing w:after="240" w:before="480"/>
        <w:outlineLvl w:val="0"/>
      </w:pPr>
      <w:r>
        <w:rPr>
          <w:rFonts w:ascii="Times New Roman" w:cs="Times New Roman" w:eastAsia="Times New Roman" w:hAnsi="Times New Roman"/>
          <w:b/>
          <w:bCs/>
          <w:color w:val="0D2137"/>
          <w:sz w:val="28"/>
          <w:szCs w:val="28"/>
        </w:rPr>
        <w:t xml:space="preserve">4. Metodología</w:t>
      </w:r>
    </w:p>
    <w:p>
      <w:pPr>
        <w:spacing w:after="200" w:line="360" w:lineRule="auto"/>
        <w:ind w:firstLine="720"/>
        <w:jc w:val="both"/>
      </w:pPr>
      <w:r>
        <w:rPr>
          <w:rFonts w:ascii="Times New Roman" w:cs="Times New Roman" w:eastAsia="Times New Roman" w:hAnsi="Times New Roman"/>
          <w:color w:val="000000"/>
          <w:sz w:val="24"/>
          <w:szCs w:val="24"/>
        </w:rPr>
        <w:t xml:space="preserve">Este capítulo describe el diseño metodológico del framework CFH, organizado en seis componentes: el diseño general del estudio, la descripción del corpus multimodal, el pipeline de ingesta y procesamiento, la taxonomía de anotación, la extracción de características en tres capas, y los protocolos de validación. Cada componente es tanto una decisión metodológica como una contribución técnica diseñada para ser reproducible y extensible a otros archivos de justicia transicional.</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4.1 Diseño de la investigación</w:t>
      </w:r>
    </w:p>
    <w:p>
      <w:pPr>
        <w:spacing w:after="200" w:line="360" w:lineRule="auto"/>
        <w:ind w:firstLine="720"/>
        <w:jc w:val="both"/>
      </w:pPr>
      <w:r>
        <w:rPr>
          <w:rFonts w:ascii="Times New Roman" w:cs="Times New Roman" w:eastAsia="Times New Roman" w:hAnsi="Times New Roman"/>
          <w:color w:val="000000"/>
          <w:sz w:val="24"/>
          <w:szCs w:val="24"/>
        </w:rPr>
        <w:t xml:space="preserve">Esta investigación adopta un diseño cuasi-experimental de tipo comparativo no aleatorizado, con corpus como unidad de análisis. El diseño contrasta tres grupos de documentos que representan tres condiciones de producción textual distintas, ordenadas cronológicamente y por sistema de justicia: Corpus A (justicia ordinaria escrita, 1994-2021), Corpus B (justicia transicional escrita, 2018-2023) y Corpus C (justicia transicional oral, 2022-2024).</w:t>
      </w:r>
    </w:p>
    <w:p>
      <w:pPr>
        <w:spacing w:after="200" w:line="360" w:lineRule="auto"/>
        <w:ind w:firstLine="720"/>
        <w:jc w:val="both"/>
      </w:pPr>
      <w:r>
        <w:rPr>
          <w:rFonts w:ascii="Times New Roman" w:cs="Times New Roman" w:eastAsia="Times New Roman" w:hAnsi="Times New Roman"/>
          <w:color w:val="000000"/>
          <w:sz w:val="24"/>
          <w:szCs w:val="24"/>
        </w:rPr>
        <w:t xml:space="preserve">La lógica comparativa del diseño sigue el argumento de que si la justicia transicional produce una ruptura epistémica real, entonces el índice de injusticia discursiva debe ser significativamente menor en los grupos B y C que en el grupo A, y el Índice de Congruencia Multimodal (ICM) debe revelar si el reconocimiento oral de los comparecientes en el Corpus C presenta alta o baja congruencia multimodal entre canales. El análisis de senderos (path analysis) y el modelo de tres capas constituyen las pruebas estadísticas principales del framework.</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4.2 Descripción del corpus</w:t>
      </w:r>
    </w:p>
    <w:p>
      <w:pPr>
        <w:pStyle w:val="Heading3"/>
        <w:spacing w:after="140" w:before="280"/>
        <w:outlineLvl w:val="2"/>
      </w:pPr>
      <w:r>
        <w:rPr>
          <w:rFonts w:ascii="Times New Roman" w:cs="Times New Roman" w:eastAsia="Times New Roman" w:hAnsi="Times New Roman"/>
          <w:b/>
          <w:bCs/>
          <w:i/>
          <w:iCs/>
          <w:color w:val="000000"/>
          <w:sz w:val="24"/>
          <w:szCs w:val="24"/>
        </w:rPr>
        <w:t xml:space="preserve">4.2.1 Corpus A — Justicia ordinaria</w:t>
      </w:r>
    </w:p>
    <w:p>
      <w:pPr>
        <w:spacing w:after="200" w:line="360" w:lineRule="auto"/>
        <w:ind w:firstLine="720"/>
        <w:jc w:val="both"/>
      </w:pPr>
      <w:r>
        <w:rPr>
          <w:rFonts w:ascii="Times New Roman" w:cs="Times New Roman" w:eastAsia="Times New Roman" w:hAnsi="Times New Roman"/>
          <w:color w:val="000000"/>
          <w:sz w:val="24"/>
          <w:szCs w:val="24"/>
        </w:rPr>
        <w:t xml:space="preserve">El Corpus A está compuesto por documentos de la justicia ordinaria colombiana relacionados con casos de ejecuciones extrajudiciales, subdividido en dos subsistemas.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1400"/>
        <w:gridCol w:w="4326"/>
      </w:tblGrid>
      <w:tr>
        <w:tc>
          <w:tcPr>
            <w:tcW w:type="dxa" w:w="2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Subsistema</w:t>
            </w:r>
          </w:p>
        </w:tc>
        <w:tc>
          <w:tcPr>
            <w:tcW w:type="dxa" w:w="9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N docs</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Período</w:t>
            </w:r>
          </w:p>
        </w:tc>
        <w:tc>
          <w:tcPr>
            <w:tcW w:type="dxa" w:w="43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Secciones target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Consejo de Estado — Sección Tercera</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151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1994–2021</w:t>
            </w:r>
          </w:p>
        </w:tc>
        <w:tc>
          <w:tcPr>
            <w:tcW w:type="dxa" w:w="43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HECHOS, CONSIDERACIONES, DECISIÓN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Corte Suprema — Sala de Casación Penal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180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2012–2020</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HECHOS JURÍDICAMENTE RELEVANTES, CARGOS, CONSIDERACIONES, DECISIÓN</w:t>
            </w:r>
          </w:p>
        </w:tc>
      </w:tr>
      <w:tr>
        <w:tc>
          <w:tcPr>
            <w:tcW w:type="dxa" w:w="2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Total Corpus A</w:t>
            </w:r>
          </w:p>
        </w:tc>
        <w:tc>
          <w:tcPr>
            <w:tcW w:type="dxa" w:w="9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331</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1994–2021</w:t>
            </w:r>
          </w:p>
        </w:tc>
        <w:tc>
          <w:tcPr>
            <w:tcW w:type="dxa" w:w="43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FFFFFF"/>
                <w:sz w:val="20"/>
                <w:szCs w:val="20"/>
              </w:rPr>
              <w:t xml:space="preserve">819 secciones | 291 JSONs procesados (90% confianza)</w:t>
            </w:r>
          </w:p>
        </w:tc>
      </w:tr>
    </w:tbl>
    <w:p>
      <w:pPr>
        <w:spacing w:after="120"/>
      </w:pPr>
      <w:r>
        <w:rPr>
          <w:rFonts w:ascii="Times New Roman" w:cs="Times New Roman" w:eastAsia="Times New Roman" w:hAnsi="Times New Roman"/>
          <w:color w:val="000000"/>
          <w:sz w:val="24"/>
          <w:szCs w:val="24"/>
        </w:rPr>
        <w:t xml:space="preserve"/>
      </w:r>
    </w:p>
    <w:p>
      <w:pPr>
        <w:pStyle w:val="Heading3"/>
        <w:spacing w:after="140" w:before="280"/>
        <w:outlineLvl w:val="2"/>
      </w:pPr>
      <w:r>
        <w:rPr>
          <w:rFonts w:ascii="Times New Roman" w:cs="Times New Roman" w:eastAsia="Times New Roman" w:hAnsi="Times New Roman"/>
          <w:b/>
          <w:bCs/>
          <w:i/>
          <w:iCs/>
          <w:color w:val="000000"/>
          <w:sz w:val="24"/>
          <w:szCs w:val="24"/>
        </w:rPr>
        <w:t xml:space="preserve">4.2.2 Corpus B — Justicia transicional escrita</w:t>
      </w:r>
    </w:p>
    <w:p>
      <w:pPr>
        <w:spacing w:after="200" w:line="360" w:lineRule="auto"/>
        <w:ind w:firstLine="720"/>
        <w:jc w:val="both"/>
      </w:pPr>
      <w:r>
        <w:rPr>
          <w:rFonts w:ascii="Times New Roman" w:cs="Times New Roman" w:eastAsia="Times New Roman" w:hAnsi="Times New Roman"/>
          <w:color w:val="000000"/>
          <w:sz w:val="24"/>
          <w:szCs w:val="24"/>
        </w:rPr>
        <w:t>El Corpus B está compuesto por providencias escritas de la Sala de Reconocimiento de Verdad (SRVR) de la JEP en el Macrocaso 003, incluyendo autos de determinación de hechos y conductas, resoluciones de conclusiones y sentencias del Tribunal para la Paz. El corpus fortalecido cuenta con 14 documentos únicos, de los que se extraen 80 secciones temáticas válidas (RECONOCIMIENTO, HECHOS_Y_CONDUCTAS, CALIFICACIÓN_JURÍDICA, PATRONES_MACROCRIMINALES, SANCIONES_PROPIAS, CONSIDERACIONES, RESUELVE y CUERPO), que constituyen la unidad de análisis del Corpus 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600"/>
        <w:gridCol w:w="2526"/>
      </w:tblGrid>
      <w:tr>
        <w:tc>
          <w:tcPr>
            <w:tcW w:type="dxa" w:w="3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Documento</w:t>
            </w:r>
          </w:p>
        </w:tc>
        <w:tc>
          <w:tcPr>
            <w:tcW w:type="dxa" w:w="7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Año</w:t>
            </w:r>
          </w:p>
        </w:tc>
        <w:tc>
          <w:tcPr>
            <w:tcW w:type="dxa" w:w="6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Estado</w:t>
            </w:r>
          </w:p>
        </w:tc>
        <w:tc>
          <w:tcPr>
            <w:tcW w:type="dxa" w:w="25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Subcaso / cobertura</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125/2021 — ADHC Norte de Santander</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2021</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Catatumbo — 120 víctimas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128/2021 — ADHC Costa Caribe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2021</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Norte del Cesar, Sur de La Guajira</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055/2022 — ADHC Casanare</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2022</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Casanare — 25 imputados</w:t>
            </w:r>
          </w:p>
        </w:tc>
      </w:tr>
      <w:tr>
        <w:tc>
          <w:tcPr>
            <w:tcW w:type="dxa" w:w="3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RC-01/2022 — Res. Conclusiones Norte de Santander</w:t>
            </w:r>
          </w:p>
        </w:tc>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2022</w:t>
            </w:r>
          </w:p>
        </w:tc>
        <w:tc>
          <w:tcPr>
            <w:tcW w:type="dxa" w:w="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11 comparecientes — mayor densidad REP</w:t>
            </w:r>
          </w:p>
        </w:tc>
      </w:tr>
      <w:tr>
        <w:tc>
          <w:tcPr>
            <w:tcW w:type="dxa" w:w="3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RC-03/2022 — Res. Conclusiones Costa Caribe</w:t>
            </w:r>
          </w:p>
        </w:tc>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2022</w:t>
            </w:r>
          </w:p>
        </w:tc>
        <w:tc>
          <w:tcPr>
            <w:tcW w:type="dxa" w:w="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15 comparecientes (Bat. La Popa)</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SUB D-062/2023 — ADHC Antioquia (Montoya)</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2023</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Antioquia — General Mario Montoya Uribe — 821 bloques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SUB D-081/2023 — ADHC Huila</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2023</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Huila — 1516 bloques</w:t>
            </w:r>
          </w:p>
        </w:tc>
      </w:tr>
      <w:tr>
        <w:tc>
          <w:tcPr>
            <w:tcW w:type="dxa" w:w="3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RC-04/2024 — Res. Conclusiones Dabeiba (Caso 03+04)</w:t>
            </w:r>
          </w:p>
        </w:tc>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2024</w:t>
            </w:r>
          </w:p>
        </w:tc>
        <w:tc>
          <w:tcPr>
            <w:tcW w:type="dxa" w:w="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Cementerio Las Mercedes — 287 bloques</w:t>
            </w:r>
          </w:p>
        </w:tc>
      </w:tr>
      <w:tr>
        <w:tc>
          <w:tcPr>
            <w:tcW w:type="dxa" w:w="3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Sentencias Tribunal para la Paz — Sección Primera Instancia</w:t>
            </w:r>
          </w:p>
        </w:tc>
        <w:tc>
          <w:tcPr>
            <w:tcW w:type="dxa" w:w="7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2024-2025</w:t>
            </w:r>
          </w:p>
        </w:tc>
        <w:tc>
          <w:tcPr>
            <w:tcW w:type="dxa" w:w="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Sentencias definitivas con sanciones propias — pendiente</w:t>
            </w:r>
          </w:p>
        </w:tc>
      </w:tr>
      <w:tr>
        <w:tc>
          <w:tcPr>
            <w:tcW w:type="dxa" w:w="3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Total Corpus B</w:t>
            </w:r>
          </w:p>
        </w:tc>
        <w:tc>
          <w:tcPr>
            <w:tcW w:type="dxa" w:w="7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2021-2025</w:t>
            </w:r>
          </w:p>
        </w:tc>
        <w:tc>
          <w:tcPr>
            <w:tcW w:type="dxa" w:w="6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8/9 ✅</w:t>
            </w:r>
          </w:p>
        </w:tc>
        <w:tc>
          <w:tcPr>
            <w:tcW w:type="dxa" w:w="25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FFFFFF"/>
                <w:sz w:val="20"/>
                <w:szCs w:val="20"/>
              </w:rPr>
              <w:t xml:space="preserve">2.678 bloques procesados | Objetivo ≥200 ✓</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4.2. Corpus B — inventario de providencias JEP Macrocaso 003. ✅ = procesado. ⏳ = pendiente de descarga e ingesta. Amarillo = sentencias definitivas del Tribunal para la Paz.</w:t>
      </w:r>
    </w:p>
    <w:p>
      <w:pPr>
        <w:spacing w:after="200" w:line="360" w:lineRule="auto"/>
        <w:ind w:firstLine="720"/>
        <w:jc w:val="both"/>
      </w:pPr>
      <w:r>
        <w:rPr>
          <w:rFonts w:ascii="Times New Roman" w:cs="Times New Roman" w:eastAsia="Times New Roman" w:hAnsi="Times New Roman"/>
          <w:color w:val="000000"/>
          <w:sz w:val="24"/>
          <w:szCs w:val="24"/>
        </w:rPr>
        <w:t xml:space="preserve">Todos los documentos listados son de acceso público en el portal oficial de la JEP (jep.gov.co → Sala de Prensa → Macrocaso 003 → Providencias). La incorporación de las sentencias definitivas del Tribunal para la Paz es metodológicamente crítica: constituyen el texto jurídico de mayor densidad de REP en el corpus completo — son el momento en que la JEP impone formalmente las sanciones propias y consolida el reconocimiento de responsabilidad en lenguaje jurídicamente vinculante.</w:t>
      </w:r>
    </w:p>
    <w:p>
      <w:pPr>
        <w:spacing w:after="120"/>
      </w:pPr>
      <w:r>
        <w:rPr>
          <w:rFonts w:ascii="Times New Roman" w:cs="Times New Roman" w:eastAsia="Times New Roman" w:hAnsi="Times New Roman"/>
          <w:color w:val="000000"/>
          <w:sz w:val="24"/>
          <w:szCs w:val="24"/>
        </w:rPr>
        <w:t xml:space="preserve"/>
      </w:r>
    </w:p>
    <w:p>
      <w:pPr>
        <w:pStyle w:val="Heading3"/>
        <w:spacing w:after="140" w:before="280"/>
        <w:outlineLvl w:val="2"/>
      </w:pPr>
      <w:r>
        <w:rPr>
          <w:rFonts w:ascii="Times New Roman" w:cs="Times New Roman" w:eastAsia="Times New Roman" w:hAnsi="Times New Roman"/>
          <w:b/>
          <w:bCs/>
          <w:i/>
          <w:iCs/>
          <w:color w:val="000000"/>
          <w:sz w:val="24"/>
          <w:szCs w:val="24"/>
        </w:rPr>
        <w:t xml:space="preserve">4.2.3 Corpus C — Justicia transicional oral</w:t>
      </w:r>
    </w:p>
    <w:p>
      <w:pPr>
        <w:spacing w:after="200" w:line="360" w:lineRule="auto"/>
        <w:ind w:firstLine="720"/>
        <w:jc w:val="both"/>
      </w:pPr>
      <w:r>
        <w:rPr>
          <w:rFonts w:ascii="Times New Roman" w:cs="Times New Roman" w:eastAsia="Times New Roman" w:hAnsi="Times New Roman"/>
          <w:color w:val="000000"/>
          <w:sz w:val="24"/>
          <w:szCs w:val="24"/>
        </w:rPr>
        <w:t xml:space="preserve">El Corpus C está compuesto por las transcripciones y diarizaciones de las cinco audiencias públicas de reconocimiento de verdad y de responsabilidad del Macrocaso 003. Las transcripciones fueron producidas con Whisper-medium (Radford et al., 2022) en español colombiano. La diarización de hablantes — separación automática de los turnos de comparecientes, magistrados y víctimas — fue realizada con pyannote-audio 3.1 (Bredin et al., 2023) con GPU T4.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000"/>
        <w:gridCol w:w="1200"/>
        <w:gridCol w:w="1200"/>
        <w:gridCol w:w="2526"/>
      </w:tblGrid>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Audiencia</w:t>
            </w:r>
          </w:p>
        </w:tc>
        <w:tc>
          <w:tcPr>
            <w:tcW w:type="dxa" w:w="9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Duración</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Chars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Bloques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Diarización</w:t>
            </w:r>
          </w:p>
        </w:tc>
        <w:tc>
          <w:tcPr>
            <w:tcW w:type="dxa" w:w="25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Hablante principal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Catatumbo (Norte de Santander)</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9.5h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115K</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58</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4.535 seg. | gaps min. 240-330 (silencio)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Costa Caribe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10.5h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255K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128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~2.659 segmentos diarizados</w:t>
            </w:r>
          </w:p>
        </w:tc>
      </w:tr>
      <w:tr>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Casanare — General, subcaso Casanare</w:t>
            </w:r>
          </w:p>
        </w:tc>
        <w:tc>
          <w:tcPr>
            <w:tcW w:type="dxa" w:w="9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5.3h</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248K</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124</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1.389 seg. | SPEAKER_03=58.7% compareciente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Dabeiba — Antioquia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2.3h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287K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144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1.809 segmentos diarizados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Huila</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10.5h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267K</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134</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6.281 segmentos diarizados</w:t>
            </w:r>
          </w:p>
        </w:tc>
      </w:tr>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Total Corpus C</w:t>
            </w:r>
          </w:p>
        </w:tc>
        <w:tc>
          <w:tcPr>
            <w:tcW w:type="dxa" w:w="9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38.1h</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1.17M</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588</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5/5 ✅</w:t>
            </w:r>
          </w:p>
        </w:tc>
        <w:tc>
          <w:tcPr>
            <w:tcW w:type="dxa" w:w="25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FFFFFF"/>
                <w:sz w:val="20"/>
                <w:szCs w:val="20"/>
              </w:rPr>
              <w:t xml:space="preserve">~16.673 segmentos diarizados — Corpus C completo</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4.1. Corpus C — audiencias diarizadas. ✅ = completado. Diarización 5/5 completada con pyannote-audio 3.x.</w:t>
      </w:r>
    </w:p>
    <w:p>
      <w:pPr>
        <w:spacing w:after="200" w:line="360" w:lineRule="auto"/>
        <w:ind w:firstLine="720"/>
        <w:jc w:val="both"/>
      </w:pPr>
      <w:r>
        <w:rPr>
          <w:rFonts w:ascii="Times New Roman" w:cs="Times New Roman" w:eastAsia="Times New Roman" w:hAnsi="Times New Roman"/>
          <w:color w:val="000000"/>
          <w:sz w:val="24"/>
          <w:szCs w:val="24"/>
        </w:rPr>
        <w:t xml:space="preserve">Las cinco audiencias del Corpus C fueron diarizadas completamente con pyannote-audio en Colab con GPU T4, procesando el audio en chunks de 30 minutos para evitar problemas de memoria. La diarización del subcaso Casanare (General General, subcaso Casanare) identificó 5 hablantes en 1.389 segmentos: SPEAKER_03 con 58.7% del tiempo (compareciente), SPEAKER_04 con 25.9% (magistrado relator) y SPEAKER_01 con 15.1% (representante de víctimas). El subcaso Catatumbo presenta gaps en los minutos 240-330 — confirmados como silencio o audio ininteligible en dos corridas independientes, no como error del pipeline. El total de 16.673 segmentos diarizados es el insumo fundamental para la Capa 3 multimodal.</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4.3 Pipeline de ingesta y procesamiento</w:t>
      </w:r>
    </w:p>
    <w:p>
      <w:pPr>
        <w:spacing w:after="200" w:line="360" w:lineRule="auto"/>
        <w:ind w:firstLine="720"/>
        <w:jc w:val="both"/>
      </w:pPr>
      <w:r>
        <w:rPr>
          <w:rFonts w:ascii="Times New Roman" w:cs="Times New Roman" w:eastAsia="Times New Roman" w:hAnsi="Times New Roman"/>
          <w:color w:val="000000"/>
          <w:sz w:val="24"/>
          <w:szCs w:val="24"/>
        </w:rPr>
        <w:t xml:space="preserve">El pipeline de ingesta transforma los documentos judiciales en bruto en representaciones estructuradas (JSON) sobre las que opera el extractor de características. El pipeline implementa el principio de cadena de custodia digital: cada transformación es auditable y reproducible mediante un identificador SHA-256 que acompaña a cada documento procesado. Implementa cuatro módulos: limpieza (cleaner.py), metadatos (metadata.py), segmentación (segmenter.py) y conversión de formatos.</w:t>
      </w:r>
    </w:p>
    <w:p>
      <w:pPr>
        <w:spacing w:after="200" w:line="360" w:lineRule="auto"/>
        <w:ind w:firstLine="720"/>
        <w:jc w:val="both"/>
      </w:pPr>
      <w:r>
        <w:rPr>
          <w:rFonts w:ascii="Times New Roman" w:cs="Times New Roman" w:eastAsia="Times New Roman" w:hAnsi="Times New Roman"/>
          <w:color w:val="000000"/>
          <w:sz w:val="24"/>
          <w:szCs w:val="24"/>
        </w:rPr>
        <w:t xml:space="preserve">El módulo de segmentación divide cada documento en sus secciones semánticamente significativas. Las secciones target varían por subsistema: CE usa HECHOS/CONSIDERACIONES/DECISIÓN; CSJ usa HECHOS_JURÍDICAMENTE_RELEVANTES/CARGOS/CONSIDERACIONES/DECISIÓN; JEP escrita usa HECHOS_Y_CONDUCTAS/PATRONES_MACROCRIMINALES/CALIFICACION_JURIDICA/RECONOCIMIENTO/RESUELVE; JEP oral usa TESTIMONIO_COMPARECIENTE/TESTIMONIO_VICTIMA diferenciados por diarización de hablantes.</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4.4 Taxonomía de anotación CFH y protocolo IAA</w:t>
      </w:r>
    </w:p>
    <w:p>
      <w:pPr>
        <w:pStyle w:val="Heading3"/>
        <w:spacing w:after="140" w:before="280"/>
        <w:outlineLvl w:val="2"/>
      </w:pPr>
      <w:r>
        <w:rPr>
          <w:rFonts w:ascii="Times New Roman" w:cs="Times New Roman" w:eastAsia="Times New Roman" w:hAnsi="Times New Roman"/>
          <w:b/>
          <w:bCs/>
          <w:i/>
          <w:iCs/>
          <w:color w:val="000000"/>
          <w:sz w:val="24"/>
          <w:szCs w:val="24"/>
        </w:rPr>
        <w:t xml:space="preserve">4.4.1 Las cuatro categorías de la Taxonomía CFH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3200"/>
        <w:gridCol w:w="3826"/>
      </w:tblGrid>
      <w:tr>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Categoría</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Símbolo</w:t>
            </w:r>
          </w:p>
        </w:tc>
        <w:tc>
          <w:tcPr>
            <w:tcW w:type="dxa" w:w="3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Definición operacional</w:t>
            </w:r>
          </w:p>
        </w:tc>
        <w:tc>
          <w:tcPr>
            <w:tcW w:type="dxa" w:w="38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Variable latente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Eufemismo Bélico-Institucional</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EBI</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Expresión que reemplaza la denominación directa de un homicidio de civil por una denominación que lo enmarca como acción militar legítima</w:t>
            </w:r>
          </w:p>
        </w:tc>
        <w:tc>
          <w:tcPr>
            <w:tcW w:type="dxa" w:w="3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 — indicador y₁</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Supresión de Agentividad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SA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Construcción gramatical que oculta al agente responsable de la acción violenta mediante pasivas, nominalizaciones o sujetos impersonales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 — indicador y₂</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Negación de Victimización</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NV</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Expresión que recategoriza a la persona asesinada como combatiente o sujeto ilegítimo, negando su condición de víctima civil</w:t>
            </w:r>
          </w:p>
        </w:tc>
        <w:tc>
          <w:tcPr>
            <w:tcW w:type="dxa" w:w="3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 — indicador y₄</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Ruptura Epistémica Positiva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REP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Expresión que reconoce explícitamente la condición de víctima civil, la ilegitimidad de la acción, o adopta el marco semántico de los derechos humanos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η₂ Transición Epistémica — indicador y₁₀</w:t>
            </w:r>
          </w:p>
        </w:tc>
      </w:tr>
    </w:tbl>
    <w:p>
      <w:pPr>
        <w:spacing w:after="120"/>
      </w:pPr>
      <w:r>
        <w:rPr>
          <w:rFonts w:ascii="Times New Roman" w:cs="Times New Roman" w:eastAsia="Times New Roman" w:hAnsi="Times New Roman"/>
          <w:color w:val="000000"/>
          <w:sz w:val="24"/>
          <w:szCs w:val="24"/>
        </w:rPr>
        <w:t xml:space="preserve"/>
      </w:r>
    </w:p>
    <w:p>
      <w:pPr>
        <w:pStyle w:val="Heading3"/>
        <w:spacing w:after="140" w:before="280"/>
        <w:outlineLvl w:val="2"/>
      </w:pPr>
      <w:r>
        <w:rPr>
          <w:rFonts w:ascii="Times New Roman" w:cs="Times New Roman" w:eastAsia="Times New Roman" w:hAnsi="Times New Roman"/>
          <w:b/>
          <w:bCs/>
          <w:i/>
          <w:iCs/>
          <w:color w:val="000000"/>
          <w:sz w:val="24"/>
          <w:szCs w:val="24"/>
        </w:rPr>
        <w:t xml:space="preserve">4.4.2 Protocolo IAA</w:t>
      </w:r>
    </w:p>
    <w:p>
      <w:pPr>
        <w:spacing w:after="200" w:line="360" w:lineRule="auto"/>
        <w:ind w:firstLine="720"/>
        <w:jc w:val="both"/>
      </w:pPr>
      <w:r>
        <w:rPr>
          <w:rFonts w:ascii="Times New Roman" w:cs="Times New Roman" w:eastAsia="Times New Roman" w:hAnsi="Times New Roman"/>
          <w:color w:val="000000"/>
          <w:sz w:val="24"/>
          <w:szCs w:val="24"/>
        </w:rPr>
        <w:t>La validación de la taxonomía se realiza mediante anotación doble-ciega sobre 100 fragmentos (50 Corpus A, 50 Corpus B) en Label Studio, en dos rondas. La primera ronda fue completada por la autora; la segunda por un anotador independiente. El acuerdo inter-anotador se evalúa con el coeficiente κ de Cohen bajo la escala de Landis y Koch (1977). Tras una calibración de la definición operativa del constructo REP entre las dos rondas, el acuerdo global alcanzó un valor sustancial (κ macro = 0.722), con valores por categoría de κ = 0.722 (EBI), 0.617 (SA), 0.709 (NV) y 0.841 (REP tras reconciliación). Este nivel de acuerdo sustancial respalda la fiabilidad de la taxonomía para los fines del análisis.</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4.5 Extracción de características — tres capas</w:t>
      </w:r>
    </w:p>
    <w:p>
      <w:pPr>
        <w:pStyle w:val="Heading3"/>
        <w:spacing w:after="140" w:before="280"/>
        <w:outlineLvl w:val="2"/>
      </w:pPr>
      <w:r>
        <w:rPr>
          <w:rFonts w:ascii="Times New Roman" w:cs="Times New Roman" w:eastAsia="Times New Roman" w:hAnsi="Times New Roman"/>
          <w:b/>
          <w:bCs/>
          <w:i/>
          <w:iCs/>
          <w:color w:val="000000"/>
          <w:sz w:val="24"/>
          <w:szCs w:val="24"/>
        </w:rPr>
        <w:t xml:space="preserve">4.5.1 Modelo de lenguaje base: ConfliBERT-Spanish</w:t>
      </w:r>
    </w:p>
    <w:p>
      <w:pPr>
        <w:spacing w:after="200" w:line="360" w:lineRule="auto"/>
        <w:ind w:firstLine="720"/>
        <w:jc w:val="both"/>
      </w:pPr>
      <w:r>
        <w:rPr>
          <w:rFonts w:ascii="Times New Roman" w:cs="Times New Roman" w:eastAsia="Times New Roman" w:hAnsi="Times New Roman"/>
          <w:color w:val="000000"/>
          <w:sz w:val="24"/>
          <w:szCs w:val="24"/>
        </w:rPr>
        <w:t xml:space="preserve">El extractor utiliza ConfliBERT-Spanish-Beto-Cased-v1 (Yang et al., 2023) para los indicadores semánticos y₈ y y₉. Disponible en HuggingFace (eventdata-utd/ConfliBERT-Spanish-Beto-Cased-v1), está basado en BETO con continual pretraining sobre ~200GB de corpus de conflicto y violencia política latinoamericana. CFH-BERT v2 — fine-tuning supervisado con IO tagging y weighted loss sobre 100 anotaciones — alcanza F1 macro=0.58 (vs 0.27 de v1), con F1 REP=0.77 y F1 NV=0.32.</w:t>
      </w:r>
    </w:p>
    <w:p>
      <w:pPr>
        <w:pStyle w:val="Heading3"/>
        <w:spacing w:after="140" w:before="280"/>
        <w:outlineLvl w:val="2"/>
      </w:pPr>
      <w:r>
        <w:rPr>
          <w:rFonts w:ascii="Times New Roman" w:cs="Times New Roman" w:eastAsia="Times New Roman" w:hAnsi="Times New Roman"/>
          <w:b/>
          <w:bCs/>
          <w:i/>
          <w:iCs/>
          <w:color w:val="000000"/>
          <w:sz w:val="24"/>
          <w:szCs w:val="24"/>
        </w:rPr>
        <w:t xml:space="preserve">4.5.2 Capa 1 — Indicadores léxicos</w:t>
      </w:r>
    </w:p>
    <w:p>
      <w:pPr>
        <w:spacing w:after="200" w:line="360" w:lineRule="auto"/>
        <w:ind w:firstLine="720"/>
        <w:jc w:val="both"/>
      </w:pPr>
      <w:r>
        <w:rPr>
          <w:rFonts w:ascii="Times New Roman" w:cs="Times New Roman" w:eastAsia="Times New Roman" w:hAnsi="Times New Roman"/>
          <w:color w:val="000000"/>
          <w:sz w:val="24"/>
          <w:szCs w:val="24"/>
        </w:rPr>
        <w:t xml:space="preserve">Los indicadores léxicos se extraen sobre los Corpus A, B y C sin GPU mediante spaCy (es_core_news_lg), TF-IDF y CFH-BERT:</w:t>
      </w:r>
    </w:p>
    <w:p>
      <w:pPr>
        <w:pStyle w:val="ListParagraph"/>
        <w:numPr>
          <w:ilvl w:val="0"/>
          <w:numId w:val="11"/>
        </w:numPr>
        <w:spacing w:after="120"/>
        <w:jc w:val="both"/>
      </w:pPr>
      <w:r>
        <w:rPr>
          <w:rFonts w:ascii="Times New Roman" w:cs="Times New Roman" w:eastAsia="Times New Roman" w:hAnsi="Times New Roman"/>
          <w:sz w:val="22"/>
          <w:szCs w:val="22"/>
        </w:rPr>
        <w:t xml:space="preserve">y₁ EBI Score — frecuencia normalizada de tokens EBI por sección, mediante extractor de ventana deslizante (window=400, stride=100). CFH-BERT v2.</w:t>
      </w:r>
    </w:p>
    <w:p>
      <w:pPr>
        <w:pStyle w:val="ListParagraph"/>
        <w:numPr>
          <w:ilvl w:val="0"/>
          <w:numId w:val="11"/>
        </w:numPr>
        <w:spacing w:after="120"/>
        <w:jc w:val="both"/>
      </w:pPr>
      <w:r>
        <w:rPr>
          <w:rFonts w:ascii="Times New Roman" w:cs="Times New Roman" w:eastAsia="Times New Roman" w:hAnsi="Times New Roman"/>
          <w:sz w:val="22"/>
          <w:szCs w:val="22"/>
        </w:rPr>
        <w:t xml:space="preserve">y₂ SA Score — proporción de construcciones pasivas sin agente, nominalizaciones y sujetos impersonales. spaCy dependency parsing.</w:t>
      </w:r>
    </w:p>
    <w:p>
      <w:pPr>
        <w:pStyle w:val="ListParagraph"/>
        <w:numPr>
          <w:ilvl w:val="0"/>
          <w:numId w:val="11"/>
        </w:numPr>
        <w:spacing w:after="120"/>
        <w:jc w:val="both"/>
      </w:pPr>
      <w:r>
        <w:rPr>
          <w:rFonts w:ascii="Times New Roman" w:cs="Times New Roman" w:eastAsia="Times New Roman" w:hAnsi="Times New Roman"/>
          <w:sz w:val="22"/>
          <w:szCs w:val="22"/>
        </w:rPr>
        <w:t>y₃ Distancia léxico civil — indicador explorado en fases preliminares (distancia coseno entre el vector léxico de la sección y un léxico de referencia civil construido con testimonios MAFAPO). Fue descartado del pipeline definitivo por presentar varianza insuficiente y no ser calculable sobre el Corpus C oral; su función predictiva es asumida por la distancia semántica al centroide MAFAPO (y₈).</w:t>
      </w:r>
    </w:p>
    <w:p>
      <w:pPr>
        <w:pStyle w:val="ListParagraph"/>
        <w:numPr>
          <w:ilvl w:val="0"/>
          <w:numId w:val="11"/>
        </w:numPr>
        <w:spacing w:after="120"/>
        <w:jc w:val="both"/>
      </w:pPr>
      <w:r>
        <w:rPr>
          <w:rFonts w:ascii="Times New Roman" w:cs="Times New Roman" w:eastAsia="Times New Roman" w:hAnsi="Times New Roman"/>
          <w:sz w:val="22"/>
          <w:szCs w:val="22"/>
        </w:rPr>
        <w:t xml:space="preserve">y₄ NV Score — frecuencia normalizada de tokens NV. CFH-BERT v2.</w:t>
      </w:r>
    </w:p>
    <w:p>
      <w:pPr>
        <w:pStyle w:val="ListParagraph"/>
        <w:numPr>
          <w:ilvl w:val="0"/>
          <w:numId w:val="11"/>
        </w:numPr>
        <w:spacing w:after="120"/>
        <w:jc w:val="both"/>
      </w:pPr>
      <w:r>
        <w:rPr>
          <w:rFonts w:ascii="Times New Roman" w:cs="Times New Roman" w:eastAsia="Times New Roman" w:hAnsi="Times New Roman"/>
          <w:sz w:val="22"/>
          <w:szCs w:val="22"/>
        </w:rPr>
        <w:t xml:space="preserve">Persona gramatical — ratio de pronombres en primera persona activa («yo», «nosotros») vs. construcciones pasivas e impersonales. Operacionaliza la accountability individual vs. institucional. spaCy POS tagging.</w:t>
      </w:r>
    </w:p>
    <w:p>
      <w:pPr>
        <w:pStyle w:val="ListParagraph"/>
        <w:numPr>
          <w:ilvl w:val="0"/>
          <w:numId w:val="11"/>
        </w:numPr>
        <w:spacing w:after="120"/>
        <w:jc w:val="both"/>
      </w:pPr>
      <w:r>
        <w:rPr>
          <w:rFonts w:ascii="Times New Roman" w:cs="Times New Roman" w:eastAsia="Times New Roman" w:hAnsi="Times New Roman"/>
          <w:sz w:val="22"/>
          <w:szCs w:val="22"/>
        </w:rPr>
        <w:t xml:space="preserve">Hedging — frecuencia de marcadores de evasión epistémica («tal vez», «podría», «en cierta medida», «posiblemente»). Diccionario + dependency parsing. Indica evitación de compromisos afirmativos.</w:t>
      </w:r>
    </w:p>
    <w:p>
      <w:pPr>
        <w:pStyle w:val="ListParagraph"/>
        <w:numPr>
          <w:ilvl w:val="0"/>
          <w:numId w:val="11"/>
        </w:numPr>
        <w:spacing w:after="120"/>
        <w:jc w:val="both"/>
      </w:pPr>
      <w:r>
        <w:rPr>
          <w:rFonts w:ascii="Times New Roman" w:cs="Times New Roman" w:eastAsia="Times New Roman" w:hAnsi="Times New Roman"/>
          <w:sz w:val="22"/>
          <w:szCs w:val="22"/>
        </w:rPr>
        <w:t xml:space="preserve">Léxico emocional — carga emocional del segmento en 8 dimensiones (ira, miedo, tristeza, anticipación, alegría, sorpresa, disgusto, confianza). NRC Emotion Lexicon + pysentimiento.</w:t>
      </w:r>
    </w:p>
    <w:p>
      <w:pPr>
        <w:pStyle w:val="Heading3"/>
        <w:spacing w:after="140" w:before="280"/>
        <w:outlineLvl w:val="2"/>
      </w:pPr>
      <w:r>
        <w:rPr>
          <w:rFonts w:ascii="Times New Roman" w:cs="Times New Roman" w:eastAsia="Times New Roman" w:hAnsi="Times New Roman"/>
          <w:b/>
          <w:bCs/>
          <w:i/>
          <w:iCs/>
          <w:color w:val="000000"/>
          <w:sz w:val="24"/>
          <w:szCs w:val="24"/>
        </w:rPr>
        <w:t xml:space="preserve">4.5.3 Capa 2 — Indicadores semánticos</w:t>
      </w:r>
    </w:p>
    <w:p>
      <w:pPr>
        <w:spacing w:after="200" w:line="360" w:lineRule="auto"/>
        <w:ind w:firstLine="720"/>
        <w:jc w:val="both"/>
      </w:pPr>
      <w:r>
        <w:rPr>
          <w:rFonts w:ascii="Times New Roman" w:cs="Times New Roman" w:eastAsia="Times New Roman" w:hAnsi="Times New Roman"/>
          <w:color w:val="000000"/>
          <w:sz w:val="24"/>
          <w:szCs w:val="24"/>
        </w:rPr>
        <w:t xml:space="preserve">Los indicadores semánticos operan sobre el espacio de embeddings de ConfliBERT-Spanish:</w:t>
      </w:r>
    </w:p>
    <w:p>
      <w:pPr>
        <w:pStyle w:val="ListParagraph"/>
        <w:numPr>
          <w:ilvl w:val="0"/>
          <w:numId w:val="11"/>
        </w:numPr>
        <w:spacing w:after="120"/>
        <w:jc w:val="both"/>
      </w:pPr>
      <w:r>
        <w:rPr>
          <w:rFonts w:ascii="Times New Roman" w:cs="Times New Roman" w:eastAsia="Times New Roman" w:hAnsi="Times New Roman"/>
          <w:sz w:val="22"/>
          <w:szCs w:val="22"/>
        </w:rPr>
        <w:t>y₇ Surprisal contrastivo — diferencia de pseudo-log-verosimilitud por token entre dos modelos de lenguaje enmascarado: y₇ = PLL_BETO − PLL_ConfliBERT. Mide cuán característico del registro bélico-institucional del conflicto es el texto: un valor más negativo indica que el texto es más predecible para ConfliBERT (modelo de conflicto y violencia política) que para BETO (español general), es decir, un registro más militarizado. El indicador es independiente del EBI (que cuenta términos discretos): mientras el EBI mide ocurrencias léxicas puntuales, el surprisal contrastivo mide el registro global del texto mediante contraste de modelos. Se calcula sobre las unidades reales de los tres corpus (A por sección, B por sección, C por compareciente).</w:t>
      </w:r>
    </w:p>
    <w:p>
      <w:pPr>
        <w:pStyle w:val="ListParagraph"/>
        <w:numPr>
          <w:ilvl w:val="0"/>
          <w:numId w:val="11"/>
        </w:numPr>
        <w:spacing w:after="120"/>
        <w:jc w:val="both"/>
      </w:pPr>
      <w:r>
        <w:rPr>
          <w:rFonts w:ascii="Times New Roman" w:cs="Times New Roman" w:eastAsia="Times New Roman" w:hAnsi="Times New Roman"/>
          <w:sz w:val="22"/>
          <w:szCs w:val="22"/>
        </w:rPr>
        <w:t>y₈ Distancia MAFAPO — distancia coseno entre el embedding del segmento y el centroide MAFAPO v5 (293 textos). Implementado: A=0.211, B=0.155, C=0.129 (p&lt;0.001, d=1.39).</w:t>
      </w:r>
    </w:p>
    <w:p>
      <w:pPr>
        <w:pStyle w:val="ListParagraph"/>
        <w:numPr>
          <w:ilvl w:val="0"/>
          <w:numId w:val="11"/>
        </w:numPr>
        <w:spacing w:after="120"/>
        <w:jc w:val="both"/>
      </w:pPr>
      <w:r>
        <w:rPr>
          <w:rFonts w:ascii="Times New Roman" w:cs="Times New Roman" w:eastAsia="Times New Roman" w:hAnsi="Times New Roman"/>
          <w:sz w:val="22"/>
          <w:szCs w:val="22"/>
        </w:rPr>
        <w:t>y₉ Distancia CIDH — distancia coseno entre el embedding y el centroide CIDH v3. Implementado: A=0.254, B=0.217 (p&lt;0.001, d=0.95).</w:t>
      </w:r>
    </w:p>
    <w:p>
      <w:pPr>
        <w:pStyle w:val="ListParagraph"/>
        <w:numPr>
          <w:ilvl w:val="0"/>
          <w:numId w:val="11"/>
        </w:numPr>
        <w:spacing w:after="120"/>
        <w:jc w:val="both"/>
      </w:pPr>
      <w:r>
        <w:rPr>
          <w:rFonts w:ascii="Times New Roman" w:cs="Times New Roman" w:eastAsia="Times New Roman" w:hAnsi="Times New Roman"/>
          <w:sz w:val="22"/>
          <w:szCs w:val="22"/>
        </w:rPr>
        <w:t xml:space="preserve">UMAP/t-SNE — visualización del espacio de embeddings para mostrar la separación entre Corpus A, B y C. Contribución visual de la Capa 2.</w:t>
      </w:r>
    </w:p>
    <w:p>
      <w:pPr>
        <w:pStyle w:val="ListParagraph"/>
        <w:numPr>
          <w:ilvl w:val="0"/>
          <w:numId w:val="11"/>
        </w:numPr>
        <w:spacing w:after="120"/>
        <w:jc w:val="both"/>
      </w:pPr>
      <w:r>
        <w:rPr>
          <w:rFonts w:ascii="Times New Roman" w:cs="Times New Roman" w:eastAsia="Times New Roman" w:hAnsi="Times New Roman"/>
          <w:sz w:val="22"/>
          <w:szCs w:val="22"/>
        </w:rPr>
        <w:t xml:space="preserve">Convergencia temporal — evolución de la distancia MAFAPO/CIDH a lo largo del tiempo para medir si la JEP se acerca a las víctimas año a año.</w:t>
      </w:r>
    </w:p>
    <w:p>
      <w:pPr>
        <w:pStyle w:val="ListParagraph"/>
        <w:numPr>
          <w:ilvl w:val="0"/>
          <w:numId w:val="11"/>
        </w:numPr>
        <w:spacing w:after="120"/>
        <w:jc w:val="both"/>
      </w:pPr>
      <w:r>
        <w:rPr>
          <w:rFonts w:ascii="Times New Roman" w:cs="Times New Roman" w:eastAsia="Times New Roman" w:hAnsi="Times New Roman"/>
          <w:sz w:val="22"/>
          <w:szCs w:val="22"/>
        </w:rPr>
        <w:t>y₁₁ Densidad de orientación dialógica/testimonial — indicador rediseñado que mide el gesto relacional de dirigirse a las víctimas y reconocerlas como interlocutoras epistémicas válidas (hablarles directamente, reconocer que merecen la verdad, nombrar el daño causado a ellas). Operacionaliza la corrección de la injusticia testimonial de Fricker, distinta del acto reparador en sí (y₁₀). Este rediseño sustituye a la versión previa —similitud coseno a un centroide restaurativo— que presentaba multicolinealidad severa con y₈ e y₉ (r=0.952 y 0.972); la nueva formulación por densidad es ortogonal a las distancias semánticas.</w:t>
      </w:r>
    </w:p>
    <w:p>
      <w:pPr>
        <w:pStyle w:val="Heading3"/>
        <w:spacing w:after="140" w:before="280"/>
        <w:outlineLvl w:val="2"/>
      </w:pPr>
      <w:r>
        <w:rPr>
          <w:rFonts w:ascii="Times New Roman" w:cs="Times New Roman" w:eastAsia="Times New Roman" w:hAnsi="Times New Roman"/>
          <w:b/>
          <w:bCs/>
          <w:i/>
          <w:iCs/>
          <w:color w:val="000000"/>
          <w:sz w:val="24"/>
          <w:szCs w:val="24"/>
        </w:rPr>
        <w:t xml:space="preserve">4.5.4 Capa 3 — Indicadores multimodales (solo Corpus C)</w:t>
      </w:r>
    </w:p>
    <w:p>
      <w:pPr>
        <w:spacing w:after="200" w:line="360" w:lineRule="auto"/>
        <w:ind w:firstLine="720"/>
        <w:jc w:val="both"/>
      </w:pPr>
      <w:r>
        <w:rPr>
          <w:rFonts w:ascii="Times New Roman" w:cs="Times New Roman" w:eastAsia="Times New Roman" w:hAnsi="Times New Roman"/>
          <w:color w:val="000000"/>
          <w:sz w:val="24"/>
          <w:szCs w:val="24"/>
        </w:rPr>
        <w:t xml:space="preserve">La Capa 3 opera exclusivamente sobre los segmentos del compareciente identificados por la diarización de pyannote-audio 3.x. Los videos de las audiencias JEP fueron descargados del canal @JEP_Colombia (YouTube) mediante yt-dlp y procesados en Google Colab con GPU T4. Se dispone de 4 de 5 videos (Costa Caribe pendiente por DRM).</w:t>
      </w:r>
    </w:p>
    <w:p>
      <w:pPr>
        <w:spacing w:after="200" w:line="360" w:lineRule="auto"/>
        <w:ind w:firstLine="720"/>
        <w:jc w:val="both"/>
      </w:pPr>
      <w:r>
        <w:rPr>
          <w:rFonts w:ascii="Times New Roman" w:cs="Times New Roman" w:eastAsia="Times New Roman" w:hAnsi="Times New Roman"/>
          <w:b/>
          <w:bCs/>
          <w:color w:val="000000"/>
          <w:sz w:val="24"/>
          <w:szCs w:val="24"/>
        </w:rPr>
        <w:t xml:space="preserve">4.5.4.1 Features faciales — MediaPipe FaceLandmarker (Lugaresi et al., 2019). </w:t>
      </w:r>
      <w:r>
        <w:rPr>
          <w:rFonts w:ascii="Times New Roman" w:cs="Times New Roman" w:eastAsia="Times New Roman" w:hAnsi="Times New Roman"/>
          <w:color w:val="000000"/>
          <w:sz w:val="24"/>
          <w:szCs w:val="24"/>
        </w:rPr>
        <w:t xml:space="preserve">El canal facial se extrae de manera homogénea en los cinco subcasos del Corpus C mediante MediaPipe FaceLandmarker (Lugaresi et al., 2019), que produce blendshapes faciales en escala 0–1 por frame en modo IMAGE. La homogeneidad del extractor en todo el corpus es condición necesaria para la comparabilidad del canal facial entre comparecientes y subcasos. Por segmento atribuido al compareciente se muestrean los frames válidos y se agrega cada blendshape mediante su media.
La extracción de features faciales y prosódicas se restringió al compareciente mediante un procedimiento de verificación de identidad (Guía Metodológica de Muestreo Multimodal, Zuluaga, 2026). Para cada subcaso se enroló una imagen de referencia del compareciente y se aceptaron únicamente los rostros cuyo descriptor facial (face_recognition, 128-d) coincidía con la referencia bajo un umbral de distancia de 0.55, y que superaban un mínimo de calidad (ancho de rostro ≥ 100 px, vista cuasi-frontal). El hablante objetivo se verificó manualmente sobre la diarización para cada audiencia. La unidad de análisis es la intervención (turno) del compareciente; las Action Units se agregaron por turno mediante la mediana de los frames válidos, y la prosodia mediante los functionals eGeMAPS del segmento. Se reporta la cobertura (porcentaje de frames válidos) por subcaso; dada la resolución de archivo (360p) y el número de subcasos (n=5), los resultados multimodales se interpretan de forma exploratoria. Los blendshapes relevantes para el ICM se mapean a Action Units del sistema FACS: AU1=browInnerUp (ceja interna elevada), AU4=(browDownLeft+browDownRight)/2 (ceño), AU6=(cheekSquintLeft+cheekSquintRight)/2 (elevador de mejilla), AU12=(mouthSmileLeft+mouthSmileRight)/2 (comisura labial), AU15=(mouthFrownLeft+mouthFrownRight)/2 (comisuras hacia abajo) y AU17=mouthPucker (mentón). El componente de distress se opera con las cuatro Action Units de la expresión prototípica de tristeza (Ekman, Friesen y Hager, 2002): AU1, AU4, AU15 y AU17. El blendshape mapeado a AU6 presenta valores próximos a cero en todo el corpus, por lo que no integra el componente de distress y se reporta como nota metodológica sobre la disponibilidad diferencial de los descriptores. La tasa de detección facial varía por audiencia según el ángulo y la distancia de la cámara, lo que se reporta explícitamente y se incorpora a la marcación de robustez de cada compareciente.</w:t>
      </w:r>
    </w:p>
    <w:p>
      <w:pPr>
        <w:spacing w:after="200" w:line="360" w:lineRule="auto"/>
        <w:ind w:firstLine="720"/>
        <w:jc w:val="both"/>
      </w:pPr>
      <w:r>
        <w:rPr>
          <w:sz w:val="24"/>
          <w:szCs w:val="24"/>
        </w:rPr>
        <w:t xml:space="preserve">Una limitación metodológica relevante de MediaPipe FaceLandmarker es su sesgo de entrenamiento. Buolamwini y Gebru (2018) demostraron que los clasificadores de reconocimiento facial comerciales presentan tasas de error significativamente mayores en personas de piel oscura (hasta 34.7 puntos de diferencia). No existe auditoría pública de MediaPipe sobre rostros mestizos, afrocolombianos o indígenas. Los resultados de la Capa 3 facial deben interpretarse con esta limitación explícita, y una auditoría intersectional conforme al protocolo Gender Shades es una línea futura prioritaria.</w:t>
      </w:r>
    </w:p>
    <w:p>
      <w:pPr>
        <w:spacing w:after="200" w:line="360" w:lineRule="auto"/>
        <w:ind w:firstLine="720"/>
        <w:jc w:val="both"/>
      </w:pPr>
      <w:r>
        <w:rPr>
          <w:i/>
          <w:sz w:val="20"/>
          <w:szCs w:val="20"/>
          <w:color w:val="2E4057"/>
        </w:rPr>
        <w:t xml:space="preserve">Buolamwini, J., y Gebru, T. (2018). Gender Shades: Intersectional Accuracy Disparities in Commercial Gender Classification. Proceedings of Machine Learning Research, 81, 1–15.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000"/>
        <w:gridCol w:w="1200"/>
        <w:gridCol w:w="1200"/>
        <w:gridCol w:w="1200"/>
        <w:gridCol w:w="1426"/>
      </w:tblGrid>
      <w:tr>
        <w:tc>
          <w:tcPr>
            <w:tcW w:type="dxa" w:w="2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Audiencia</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Segs.</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Det. facial</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AU4 ceño</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AU12 sonrisa</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AU15 tristeza</w:t>
            </w:r>
          </w:p>
        </w:tc>
        <w:tc>
          <w:tcPr>
            <w:tcW w:type="dxa" w:w="14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ICM facial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Casanare — Torres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903</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86%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0.076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0.091</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0.002</w:t>
            </w:r>
          </w:p>
        </w:tc>
        <w:tc>
          <w:tcPr>
            <w:tcW w:type="dxa" w:w="1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0.190 ← menor congruencia multimodal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Catatumbo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1.168</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0.184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0.131</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0.011</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0.272</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Dabeiba</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424</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0.275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0.140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0.008</w:t>
            </w:r>
          </w:p>
        </w:tc>
        <w:tc>
          <w:tcPr>
            <w:tcW w:type="dxa" w:w="1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0.292</w:t>
            </w:r>
          </w:p>
        </w:tc>
      </w:tr>
      <w:tr>
        <w:tc>
          <w:tcPr>
            <w:tcW w:type="dxa" w:w="2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Huila</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1.864</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0.350</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0.086</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0.002</w:t>
            </w:r>
          </w:p>
        </w:tc>
        <w:tc>
          <w:tcPr>
            <w:tcW w:type="dxa" w:w="14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0.300 ← mayor congruencia multimodal</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4.3. Features faciales Capa 3 — MediaPipe FaceLandmarker (Lugaresi et al., 2019) homogéneo en los cinco subcasos. El canal facial se normaliza mediante z-score sobre la distribución del corpus (naturaleza comparativa de los Action Units). Mayor valor = mayor distress facial relativo.</w:t>
      </w:r>
    </w:p>
    <w:p>
      <w:pPr>
        <w:spacing w:after="200" w:line="360" w:lineRule="auto"/>
        <w:ind w:firstLine="720"/>
        <w:jc w:val="both"/>
      </w:pPr>
      <w:r>
        <w:rPr>
          <w:rFonts w:ascii="Times New Roman" w:cs="Times New Roman" w:eastAsia="Times New Roman" w:hAnsi="Times New Roman"/>
          <w:b/>
          <w:bCs/>
          <w:color w:val="000000"/>
          <w:sz w:val="24"/>
          <w:szCs w:val="24"/>
        </w:rPr>
        <w:t xml:space="preserve">4.5.4.2 Features prosódicas — OpenSMILE eGeMAPS (completado 5/5 subcasos). </w:t>
      </w:r>
      <w:r>
        <w:rPr>
          <w:rFonts w:ascii="Times New Roman" w:cs="Times New Roman" w:eastAsia="Times New Roman" w:hAnsi="Times New Roman"/>
          <w:color w:val="000000"/>
          <w:sz w:val="24"/>
          <w:szCs w:val="24"/>
        </w:rPr>
        <w:t>El canal vocal se extrae con OpenSMILE eGeMAPS (Eyben et al., 2016), que produce 88 descriptores acústicos por ventana. De ese conjunto, el ICM vocal se opera con tres descriptores de fundamento prosódico directo en el distress: el shimmer (irregularidad de amplitud, asociada al quiebre de voz), la variabilidad normalizada de F0 (modulación tonal) y el HNR invertido (calidad vocal asociada a carga emocional). Se excluye el jitter por la inconsistencia documentada de su interpretación. El canal vocal se normaliza mediante una escala fija anclada en valores de referencia de la literatura —piso fisiológico y techo documentado—, de modo que produce valores absolutos comparables e independientes de la composición de la muestra. Las ventanas de silencio y pausa del compareciente se conservan en el análisis: en el contexto de las audiencias de reconocimiento, la pausa y el silencio no son ausencia de señal sino parte constitutiva del acto de reconocimiento (Zehr, 2002; Baird y Coutinho, 2019). La extracción está completa para los cinco subcasos.</w:t>
      </w:r>
    </w:p>
    <w:p>
      <w:pPr>
        <w:spacing w:after="200" w:line="360" w:lineRule="auto"/>
        <w:ind w:firstLine="720"/>
        <w:jc w:val="both"/>
      </w:pPr>
      <w:r>
        <w:rPr>
          <w:rFonts w:ascii="Times New Roman" w:cs="Times New Roman" w:eastAsia="Times New Roman" w:hAnsi="Times New Roman"/>
          <w:b/>
          <w:bCs/>
          <w:color w:val="000000"/>
          <w:sz w:val="24"/>
          <w:szCs w:val="24"/>
        </w:rPr>
        <w:t xml:space="preserve">4.5.4.3 Índice de Congruencia Multimodal (ICM). </w:t>
      </w:r>
      <w:r>
        <w:rPr>
          <w:rFonts w:ascii="Times New Roman" w:cs="Times New Roman" w:eastAsia="Times New Roman" w:hAnsi="Times New Roman"/>
          <w:color w:val="000000"/>
          <w:sz w:val="24"/>
          <w:szCs w:val="24"/>
        </w:rPr>
        <w:t>El ICM combina los tres canales —facial (Action Units MediaPipe), vocal (descriptores eGeMAPS) y verbal (REP, y₁₀)— en un índice de congruencia comunicativa calculado a nivel individual del compareciente. Cada canal se normaliza según su propia naturaleza de medición: el facial mediante z-score comparativo sobre la distribución del corpus (con media y desviación estándar congeladas como constantes de calibración), el vocal mediante escala fija de literatura, y el verbal como proporción del discurso reparador. El componente de distress facial promedia las cuatro Action Units de tristeza prototípica (AU1, AU4, AU15, AU17). El índice tri-canal se compone con pesos 0.40 facial / 0.40 vocal / 0.20 verbal, renormalizados cuando un canal carece de cobertura suficiente; cada compareciente recibe además una marca de robustez (sólido / mínimo) según la suficiencia de evidencia por canal.</w:t>
      </w:r>
    </w:p>
    <w:p>
      <w:pPr>
        <w:spacing w:after="200" w:line="360" w:lineRule="auto"/>
        <w:ind w:firstLine="720"/>
        <w:jc w:val="both"/>
      </w:pPr>
      <w:r>
        <w:rPr>
          <w:sz w:val="24"/>
          <w:szCs w:val="24"/>
        </w:rPr>
        <w:t xml:space="preserve">Es imprescindible declarar los límites epistemológicos del ICM. Conforme a Barrett et al. (2019), las configuraciones faciales no decodifican estados emocionales internos de manera universal ni directa. Crivelli y Fridlund (2018) argumentan que las expresiones son actos comunicativos contextuales. Reisenzein et al. (2013) confirman que la coherencia emoción-expresión es baja incluso en emoción genuina. Por estas razones, el ICM no mide sinceridad, autenticidad psicológica individual ni culpa: es una medida de congruencia entre señales comunicativas multimodales a nivel de corpus. Adicionalmente, conforme a Camara et al. (2024), los modelos entrenados en contextos low-stakes no transfieren a high-stakes; por ello la CFH calibra el ICM desde el propio corpus del Macrocaso 003.</w:t>
      </w:r>
    </w:p>
    <w:p>
      <w:pPr>
        <w:spacing w:before="240" w:after="120" w:line="360" w:lineRule="auto"/>
        <w:jc w:val="both"/>
      </w:pPr>
      <w:r>
        <w:rPr>
          <w:rFonts w:ascii="Times New Roman" w:cs="Times New Roman" w:eastAsia="Times New Roman" w:hAnsi="Times New Roman"/>
          <w:b/>
          <w:sz w:val="24"/>
          <w:szCs w:val="24"/>
        </w:rPr>
        <w:t xml:space="preserve">4.5.4.4 Validación de robustez de los pesos del ICM.</w:t>
      </w:r>
    </w:p>
    <w:p>
      <w:pPr>
        <w:spacing w:after="200" w:line="360" w:lineRule="auto"/>
        <w:ind w:firstLine="720"/>
        <w:jc w:val="both"/>
      </w:pPr>
      <w:r>
        <w:rPr>
          <w:rFonts w:ascii="Times New Roman" w:cs="Times New Roman" w:eastAsia="Times New Roman" w:hAnsi="Times New Roman"/>
          <w:sz w:val="24"/>
          <w:szCs w:val="24"/>
        </w:rPr>
        <w:t xml:space="preserve">Dado que la composición tri-canal del ICM emplea pesos fijos (0.40 facial / 0.40 vocal / 0.20 verbal), la estabilidad del ordenamiento de comparecientes ante esa elección se evalúa mediante simulación Monte Carlo, siguiendo el mismo procedimiento de sensibilidad de pesos aplicado al DIS Score. Para cada simulación se generan pesos alternativos y se calcula el coeficiente de concordancia de rangos Kendall τ entre el ranking resultante y el ranking de referencia, con un umbral de robustez de τ≥0.80. El análisis se realiza en dos modos complementarios. El modo restringido perturba localmente los pesos (±0.10 alrededor de la referencia), representando variaciones metodológicamente plausibles. El modo completo explora todo el espacio de pesos (simplex), incluyendo configuraciones extremas, para revelar la importancia relativa de cada canal.</w:t>
      </w:r>
    </w:p>
    <w:p>
      <w:pPr>
        <w:spacing w:after="200" w:line="360" w:lineRule="auto"/>
        <w:ind w:firstLine="720"/>
        <w:jc w:val="both"/>
      </w:pPr>
      <w:r>
        <w:rPr>
          <w:rFonts w:ascii="Times New Roman" w:cs="Times New Roman" w:eastAsia="Times New Roman" w:hAnsi="Times New Roman"/>
          <w:sz w:val="24"/>
          <w:szCs w:val="24"/>
        </w:rPr>
        <w:t xml:space="preserve">Esta doble caracterización ofrece una lectura completa de la robustez: el modo restringido cuantifica la estabilidad del índice ante decisiones razonables sobre los pesos, mientras que el modo completo identifica qué canal aporta la mayor parte de la información ordenadora. Los resultados se presentan en el Capítulo 5 (§5.16).</w:t>
      </w:r>
    </w:p>
    <w:p>
      <w:pPr>
        <w:spacing w:after="200" w:line="360" w:lineRule="auto"/>
        <w:ind w:firstLine="720"/>
        <w:jc w:val="both"/>
      </w:pPr>
      <w:r>
        <w:rPr>
          <w:i/>
          <w:sz w:val="20"/>
          <w:szCs w:val="20"/>
          <w:color w:val="2E4057"/>
        </w:rPr>
        <w:t xml:space="preserve">Barrett, L. F., Adolphs, R., Marsella, S., Martinez, A. M., y Pollak, S. D. (2019). Emotional Expressions Reconsidered: Challenges to Inferring Emotion From Human Facial Movements. Psychological Science in the Public Interest, 20(1), 1–68.</w:t>
      </w:r>
    </w:p>
    <w:p>
      <w:pPr>
        <w:spacing w:after="200" w:line="360" w:lineRule="auto"/>
        <w:ind w:firstLine="720"/>
        <w:jc w:val="both"/>
      </w:pPr>
      <w:r>
        <w:rPr>
          <w:i/>
          <w:sz w:val="20"/>
          <w:szCs w:val="20"/>
          <w:color w:val="2E4057"/>
        </w:rPr>
        <w:t xml:space="preserve">Crivelli, C., y Fridlund, A. J. (2018). Facial Displays Are Tools for Social Influence. Trends in Cognitive Sciences, 22(5), 388–399.</w:t>
      </w:r>
    </w:p>
    <w:p>
      <w:pPr>
        <w:spacing w:after="200" w:line="360" w:lineRule="auto"/>
        <w:ind w:firstLine="720"/>
        <w:jc w:val="both"/>
      </w:pPr>
      <w:r>
        <w:rPr>
          <w:i/>
          <w:sz w:val="20"/>
          <w:szCs w:val="20"/>
          <w:color w:val="2E4057"/>
        </w:rPr>
        <w:t xml:space="preserve">Camara, M. K., Postal, A., Maul, T. H., y Paetzold, G. H. (2024). Can lies be faked? Comparing low-stakes and high-stakes deception video datasets from a Machine Learning perspective. Expert Systems with Applications, 249, 123684. https://doi.org/10.1016/j.eswa.2024.123684</w:t>
      </w:r>
    </w:p>
    <w:p>
      <w:pPr>
        <w:pStyle w:val="Heading 3"/>
        <w:jc w:val="both"/>
      </w:pPr>
      <w:r>
        <w:rPr>
          <w:color w:val="1F4E79"/>
          <w:sz w:val="22"/>
        </w:rPr>
        <w:t xml:space="preserve">4.5.5 Taxonomía de modelos computacionales del framework CFH</w:t>
      </w:r>
    </w:p>
    <w:p>
      <w:pPr>
        <w:pStyle w:val="Normal"/>
        <w:jc w:val="both"/>
      </w:pPr>
      <w:r>
        <w:rPr>
          <w:sz w:val="20"/>
        </w:rPr>
        <w:t xml:space="preserve">La Tabla 4.X presenta la taxonomía completa de los modelos computacionales del framework CFH. Se emplean cuatro familias: (a) reglas gramaticales para patrones sintácticamente definibles; (b) modelos de espacio vectorial para distancias léxicas; (c) transformers encoder bidireccionales para codificación contextual; y (d) modelos de señal (DSP+visión) para el canal multimodal. La columna de normalización refleja la decisión metodológica de usar z-score+sigmoid sobre distribución conjunta A+B+C, que elimina los valores 0.000 y 1.000 absolutos que produciría una normalización min-max sobre muestras pequeñas, garantizando una escala única y estable para los tres corpus.</w:t>
      </w:r>
    </w:p>
    <w:p>
      <w:pPr>
        <w:spacing w:after="160" w:line="360" w:lineRule="auto"/>
        <w:jc w:val="both"/>
      </w:pPr>
      <w:r>
        <w:rPr>
          <w:rFonts w:ascii="Times New Roman" w:cs="Times New Roman" w:eastAsia="Times New Roman" w:hAnsi="Times New Roman"/>
          <w:sz w:val="22"/>
          <w:szCs w:val="22"/>
        </w:rPr>
        <w:t>El desarrollo matemático completo de cada modelo e índice —arquitectura del clasificador CFH-BERT v2 y su pérdida ponderada, construcción de los centroides semánticos y la distancia coseno, formalización del Score de Supresión de Agentividad, extracción de descriptores eGeMAPS y Action Units, y las ecuaciones de composición y normalización del DIS, el IEI y el ICM— se presenta en el Apéndice A. Allí se documentan además la verificación de robustez del DIS bajo tres esquemas de normalización (Apéndice A.6.2), los tamaños de efecto sobre el universo canónico (N_B=80) y el protocolo experimental de CFH-BERT v3.</w:t>
      </w:r>
    </w:p>
    <w:p>
      <w:pPr>
        <w:pStyle w:val="Normal"/>
        <w:jc w:val="both"/>
      </w:pPr>
      <w:r>
        <w:rPr>
          <w:b/>
          <w:sz w:val="20"/>
        </w:rPr>
        <w:t xml:space="preserve">Tabla 4.X. Taxonomía de modelos computacionales por indicador CFH.</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100"/>
        <w:gridCol w:w="1400"/>
        <w:gridCol w:w="1500"/>
        <w:gridCol w:w="1500"/>
        <w:gridCol w:w="900"/>
        <w:gridCol w:w="1560"/>
        <w:gridCol w:w="1400"/>
      </w:tblGrid>
      <w:tr>
        <w:tc>
          <w:tcPr>
            <w:shd w:val="clear" w:color="auto" w:fill="1F4E79"/>
          </w:tcPr>
          <w:p>
            <w:pPr>
              <w:spacing w:before="40" w:after="40"/>
            </w:pPr>
            <w:r>
              <w:rPr>
                <w:b/>
                <w:color w:val="FFFFFF"/>
                <w:sz w:val="15"/>
              </w:rPr>
              <w:t xml:space="preserve">Ind.</w:t>
            </w:r>
          </w:p>
        </w:tc>
        <w:tc>
          <w:tcPr>
            <w:shd w:val="clear" w:color="auto" w:fill="1F4E79"/>
          </w:tcPr>
          <w:p>
            <w:pPr>
              <w:spacing w:before="40" w:after="40"/>
            </w:pPr>
            <w:r>
              <w:rPr>
                <w:b/>
                <w:color w:val="FFFFFF"/>
                <w:sz w:val="15"/>
              </w:rPr>
              <w:t xml:space="preserve">Nombre</w:t>
            </w:r>
          </w:p>
        </w:tc>
        <w:tc>
          <w:tcPr>
            <w:shd w:val="clear" w:color="auto" w:fill="1F4E79"/>
          </w:tcPr>
          <w:p>
            <w:pPr>
              <w:spacing w:before="40" w:after="40"/>
            </w:pPr>
            <w:r>
              <w:rPr>
                <w:b/>
                <w:color w:val="FFFFFF"/>
                <w:sz w:val="15"/>
              </w:rPr>
              <w:t xml:space="preserve">Familia modelo</w:t>
            </w:r>
          </w:p>
        </w:tc>
        <w:tc>
          <w:tcPr>
            <w:shd w:val="clear" w:color="auto" w:fill="1F4E79"/>
          </w:tcPr>
          <w:p>
            <w:pPr>
              <w:spacing w:before="40" w:after="40"/>
            </w:pPr>
            <w:r>
              <w:rPr>
                <w:b/>
                <w:color w:val="FFFFFF"/>
                <w:sz w:val="15"/>
              </w:rPr>
              <w:t xml:space="preserve">Tarea</w:t>
            </w:r>
          </w:p>
        </w:tc>
        <w:tc>
          <w:tcPr>
            <w:shd w:val="clear" w:color="auto" w:fill="1F4E79"/>
          </w:tcPr>
          <w:p>
            <w:pPr>
              <w:spacing w:before="40" w:after="40"/>
            </w:pPr>
            <w:r>
              <w:rPr>
                <w:b/>
                <w:color w:val="FFFFFF"/>
                <w:sz w:val="15"/>
              </w:rPr>
              <w:t xml:space="preserve">Nivel</w:t>
            </w:r>
          </w:p>
        </w:tc>
        <w:tc>
          <w:tcPr>
            <w:shd w:val="clear" w:color="auto" w:fill="1F4E79"/>
          </w:tcPr>
          <w:p>
            <w:pPr>
              <w:spacing w:before="40" w:after="40"/>
            </w:pPr>
            <w:r>
              <w:rPr>
                <w:b/>
                <w:color w:val="FFFFFF"/>
                <w:sz w:val="15"/>
              </w:rPr>
              <w:t xml:space="preserve">Normalización</w:t>
            </w:r>
          </w:p>
        </w:tc>
        <w:tc>
          <w:tcPr>
            <w:shd w:val="clear" w:color="auto" w:fill="1F4E79"/>
          </w:tcPr>
          <w:p>
            <w:pPr>
              <w:spacing w:before="40" w:after="40"/>
            </w:pPr>
            <w:r>
              <w:rPr>
                <w:b/>
                <w:color w:val="FFFFFF"/>
                <w:sz w:val="15"/>
              </w:rPr>
              <w:t xml:space="preserve">Justificación</w:t>
            </w:r>
          </w:p>
        </w:tc>
      </w:tr>
      <w:tr>
        <w:tc>
          <w:tcPr>
            <w:shd w:val="clear" w:color="auto" w:fill="FFFFFF"/>
          </w:tcPr>
          <w:p>
            <w:pPr>
              <w:spacing w:before="40" w:after="40"/>
            </w:pPr>
            <w:r>
              <w:rPr>
                <w:sz w:val="15"/>
              </w:rPr>
              <w:t xml:space="preserve">y₁ EBI</w:t>
            </w:r>
          </w:p>
        </w:tc>
        <w:tc>
          <w:tcPr>
            <w:shd w:val="clear" w:color="auto" w:fill="FFFFFF"/>
          </w:tcPr>
          <w:p>
            <w:pPr>
              <w:spacing w:before="40" w:after="40"/>
            </w:pPr>
            <w:r>
              <w:rPr>
                <w:sz w:val="15"/>
              </w:rPr>
              <w:t xml:space="preserve">Euf. Bélico-Inst.</w:t>
            </w:r>
          </w:p>
        </w:tc>
        <w:tc>
          <w:tcPr>
            <w:shd w:val="clear" w:color="auto" w:fill="FFFFFF"/>
          </w:tcPr>
          <w:p>
            <w:pPr>
              <w:spacing w:before="40" w:after="40"/>
            </w:pPr>
            <w:r>
              <w:rPr>
                <w:sz w:val="15"/>
              </w:rPr>
              <w:t xml:space="preserve">Clasif. IO CFH-BERT v2</w:t>
            </w:r>
          </w:p>
        </w:tc>
        <w:tc>
          <w:tcPr>
            <w:shd w:val="clear" w:color="auto" w:fill="FFFFFF"/>
          </w:tcPr>
          <w:p>
            <w:pPr>
              <w:spacing w:before="40" w:after="40"/>
            </w:pPr>
            <w:r>
              <w:rPr>
                <w:sz w:val="15"/>
              </w:rPr>
              <w:t xml:space="preserve">Sequence labeling IO</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Spans, no tokens. Pendiente v3.</w:t>
            </w:r>
          </w:p>
        </w:tc>
      </w:tr>
      <w:tr>
        <w:tc>
          <w:tcPr>
            <w:shd w:val="clear" w:color="auto" w:fill="FFFFFF"/>
          </w:tcPr>
          <w:p>
            <w:pPr>
              <w:spacing w:before="40" w:after="40"/>
            </w:pPr>
            <w:r>
              <w:rPr>
                <w:sz w:val="15"/>
              </w:rPr>
              <w:t xml:space="preserve">y₂ SA</w:t>
            </w:r>
          </w:p>
        </w:tc>
        <w:tc>
          <w:tcPr>
            <w:shd w:val="clear" w:color="auto" w:fill="FFFFFF"/>
          </w:tcPr>
          <w:p>
            <w:pPr>
              <w:spacing w:before="40" w:after="40"/>
            </w:pPr>
            <w:r>
              <w:rPr>
                <w:sz w:val="15"/>
              </w:rPr>
              <w:t xml:space="preserve">Supresión Agentiv.</w:t>
            </w:r>
          </w:p>
        </w:tc>
        <w:tc>
          <w:tcPr>
            <w:shd w:val="clear" w:color="auto" w:fill="FFFFFF"/>
          </w:tcPr>
          <w:p>
            <w:pPr>
              <w:spacing w:before="40" w:after="40"/>
            </w:pPr>
            <w:r>
              <w:rPr>
                <w:sz w:val="15"/>
              </w:rPr>
              <w:t xml:space="preserve">Reglas (spaCy deps)</w:t>
            </w:r>
          </w:p>
        </w:tc>
        <w:tc>
          <w:tcPr>
            <w:shd w:val="clear" w:color="auto" w:fill="FFFFFF"/>
          </w:tcPr>
          <w:p>
            <w:pPr>
              <w:spacing w:before="40" w:after="40"/>
            </w:pPr>
            <w:r>
              <w:rPr>
                <w:sz w:val="15"/>
              </w:rPr>
              <w:t xml:space="preserve">Parsing depend.+regex</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Patrón gramát. definible. Auditable.</w:t>
            </w:r>
          </w:p>
        </w:tc>
      </w:tr>
      <w:tr>
        <w:tc>
          <w:tcPr>
            <w:shd w:val="clear" w:color="auto" w:fill="FFFFFF"/>
          </w:tcPr>
          <w:p>
            <w:pPr>
              <w:spacing w:before="40" w:after="40"/>
            </w:pPr>
            <w:r>
              <w:rPr>
                <w:sz w:val="15"/>
              </w:rPr>
              <w:t xml:space="preserve">y₄ NV</w:t>
            </w:r>
          </w:p>
        </w:tc>
        <w:tc>
          <w:tcPr>
            <w:shd w:val="clear" w:color="auto" w:fill="FFFFFF"/>
          </w:tcPr>
          <w:p>
            <w:pPr>
              <w:spacing w:before="40" w:after="40"/>
            </w:pPr>
            <w:r>
              <w:rPr>
                <w:sz w:val="15"/>
              </w:rPr>
              <w:t xml:space="preserve">Negación Victimiz.</w:t>
            </w:r>
          </w:p>
        </w:tc>
        <w:tc>
          <w:tcPr>
            <w:shd w:val="clear" w:color="auto" w:fill="FFFFFF"/>
          </w:tcPr>
          <w:p>
            <w:pPr>
              <w:spacing w:before="40" w:after="40"/>
            </w:pPr>
            <w:r>
              <w:rPr>
                <w:sz w:val="15"/>
              </w:rPr>
              <w:t xml:space="preserve">Clasif. IO CFH-BERT v2</w:t>
            </w:r>
          </w:p>
        </w:tc>
        <w:tc>
          <w:tcPr>
            <w:shd w:val="clear" w:color="auto" w:fill="FFFFFF"/>
          </w:tcPr>
          <w:p>
            <w:pPr>
              <w:spacing w:before="40" w:after="40"/>
            </w:pPr>
            <w:r>
              <w:rPr>
                <w:sz w:val="15"/>
              </w:rPr>
              <w:t xml:space="preserve">Sequence labeling IO</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Contexto determinante. d A-B=0.024.</w:t>
            </w:r>
          </w:p>
        </w:tc>
      </w:tr>
      <w:tr>
        <w:tc>
          <w:tcPr>
            <w:shd w:val="clear" w:color="auto" w:fill="FFFFFF"/>
          </w:tcPr>
          <w:p>
            <w:pPr>
              <w:spacing w:before="40" w:after="40"/>
            </w:pPr>
            <w:r>
              <w:rPr>
                <w:sz w:val="15"/>
              </w:rPr>
              <w:t>y₇ Surprisal</w:t>
            </w:r>
          </w:p>
        </w:tc>
        <w:tc>
          <w:tcPr>
            <w:shd w:val="clear" w:color="auto" w:fill="FFFFFF"/>
          </w:tcPr>
          <w:p>
            <w:pPr>
              <w:spacing w:before="40" w:after="40"/>
            </w:pPr>
            <w:r>
              <w:rPr>
                <w:sz w:val="15"/>
              </w:rPr>
              <w:t>Surprisal contrastivo</w:t>
            </w:r>
          </w:p>
        </w:tc>
        <w:tc>
          <w:tcPr>
            <w:shd w:val="clear" w:color="auto" w:fill="FFFFFF"/>
          </w:tcPr>
          <w:p>
            <w:pPr>
              <w:spacing w:before="40" w:after="40"/>
            </w:pPr>
            <w:r>
              <w:rPr>
                <w:sz w:val="15"/>
              </w:rPr>
              <w:t>LM encoder BETO + ConfliBERT</w:t>
            </w:r>
          </w:p>
        </w:tc>
        <w:tc>
          <w:tcPr>
            <w:shd w:val="clear" w:color="auto" w:fill="FFFFFF"/>
          </w:tcPr>
          <w:p>
            <w:pPr>
              <w:spacing w:before="40" w:after="40"/>
            </w:pPr>
            <w:r>
              <w:rPr>
                <w:sz w:val="15"/>
              </w:rPr>
              <w:t>PLL_BETO − PLL_ConfliBERT</w:t>
            </w:r>
          </w:p>
        </w:tc>
        <w:tc>
          <w:tcPr>
            <w:shd w:val="clear" w:color="auto" w:fill="FFFFFF"/>
          </w:tcPr>
          <w:p>
            <w:pPr>
              <w:spacing w:before="40" w:after="40"/>
            </w:pPr>
            <w:r>
              <w:rPr>
                <w:sz w:val="15"/>
              </w:rPr>
              <w:t>A+B+C</w:t>
            </w:r>
          </w:p>
        </w:tc>
        <w:tc>
          <w:tcPr>
            <w:shd w:val="clear" w:color="auto" w:fill="FFFFFF"/>
          </w:tcPr>
          <w:p>
            <w:pPr>
              <w:spacing w:before="40" w:after="40"/>
            </w:pPr>
            <w:r>
              <w:rPr>
                <w:sz w:val="15"/>
              </w:rPr>
              <w:t>z-score A+B+C→sig</w:t>
            </w:r>
          </w:p>
        </w:tc>
        <w:tc>
          <w:tcPr>
            <w:shd w:val="clear" w:color="auto" w:fill="FFFFFF"/>
          </w:tcPr>
          <w:p>
            <w:pPr>
              <w:spacing w:before="40" w:after="40"/>
            </w:pPr>
            <w:r>
              <w:rPr>
                <w:sz w:val="15"/>
              </w:rPr>
              <w:t>Registro bélico global. Descriptivo (no en índices)</w:t>
            </w:r>
          </w:p>
        </w:tc>
      </w:tr>
      <w:tr>
        <w:tc>
          <w:tcPr>
            <w:shd w:val="clear" w:color="auto" w:fill="FFFFFF"/>
          </w:tcPr>
          <w:p>
            <w:pPr>
              <w:spacing w:before="40" w:after="40"/>
            </w:pPr>
            <w:r>
              <w:rPr>
                <w:sz w:val="15"/>
              </w:rPr>
              <w:t xml:space="preserve">y₈ MAFAPO</w:t>
            </w:r>
          </w:p>
        </w:tc>
        <w:tc>
          <w:tcPr>
            <w:shd w:val="clear" w:color="auto" w:fill="FFFFFF"/>
          </w:tcPr>
          <w:p>
            <w:pPr>
              <w:spacing w:before="40" w:after="40"/>
            </w:pPr>
            <w:r>
              <w:rPr>
                <w:sz w:val="15"/>
              </w:rPr>
              <w:t xml:space="preserve">Dist. sem. víctimas</w:t>
            </w:r>
          </w:p>
        </w:tc>
        <w:tc>
          <w:tcPr>
            <w:shd w:val="clear" w:color="auto" w:fill="FFFFFF"/>
          </w:tcPr>
          <w:p>
            <w:pPr>
              <w:spacing w:before="40" w:after="40"/>
            </w:pPr>
            <w:r>
              <w:rPr>
                <w:sz w:val="15"/>
              </w:rPr>
              <w:t xml:space="preserve">Transformer ConfliBERT</w:t>
            </w:r>
          </w:p>
        </w:tc>
        <w:tc>
          <w:tcPr>
            <w:shd w:val="clear" w:color="auto" w:fill="FFFFFF"/>
          </w:tcPr>
          <w:p>
            <w:pPr>
              <w:spacing w:before="40" w:after="40"/>
            </w:pPr>
            <w:r>
              <w:rPr>
                <w:sz w:val="15"/>
              </w:rPr>
              <w:t xml:space="preserve">Embeddings+coseno</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d A-B alto ***. Centroide MAFAPO v5 (293 textos).</w:t>
            </w:r>
          </w:p>
        </w:tc>
      </w:tr>
      <w:tr>
        <w:tc>
          <w:tcPr>
            <w:shd w:val="clear" w:color="auto" w:fill="FFFFFF"/>
          </w:tcPr>
          <w:p>
            <w:pPr>
              <w:spacing w:before="40" w:after="40"/>
            </w:pPr>
            <w:r>
              <w:rPr>
                <w:sz w:val="15"/>
              </w:rPr>
              <w:t xml:space="preserve">y₉ CIDH</w:t>
            </w:r>
          </w:p>
        </w:tc>
        <w:tc>
          <w:tcPr>
            <w:shd w:val="clear" w:color="auto" w:fill="FFFFFF"/>
          </w:tcPr>
          <w:p>
            <w:pPr>
              <w:spacing w:before="40" w:after="40"/>
            </w:pPr>
            <w:r>
              <w:rPr>
                <w:sz w:val="15"/>
              </w:rPr>
              <w:t xml:space="preserve">Dist. estánd. DDHH</w:t>
            </w:r>
          </w:p>
        </w:tc>
        <w:tc>
          <w:tcPr>
            <w:shd w:val="clear" w:color="auto" w:fill="FFFFFF"/>
          </w:tcPr>
          <w:p>
            <w:pPr>
              <w:spacing w:before="40" w:after="40"/>
            </w:pPr>
            <w:r>
              <w:rPr>
                <w:sz w:val="15"/>
              </w:rPr>
              <w:t xml:space="preserve">Transformer ConfliBERT</w:t>
            </w:r>
          </w:p>
        </w:tc>
        <w:tc>
          <w:tcPr>
            <w:shd w:val="clear" w:color="auto" w:fill="FFFFFF"/>
          </w:tcPr>
          <w:p>
            <w:pPr>
              <w:spacing w:before="40" w:after="40"/>
            </w:pPr>
            <w:r>
              <w:rPr>
                <w:sz w:val="15"/>
              </w:rPr>
              <w:t xml:space="preserve">Embeddings+coseno</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d A-B=0.543***. Centroide Corte IDH.</w:t>
            </w:r>
          </w:p>
        </w:tc>
      </w:tr>
      <w:tr>
        <w:tc>
          <w:tcPr>
            <w:shd w:val="clear" w:color="auto" w:fill="FFFFFF"/>
          </w:tcPr>
          <w:p>
            <w:pPr>
              <w:spacing w:before="40" w:after="40"/>
            </w:pPr>
            <w:r>
              <w:rPr>
                <w:sz w:val="15"/>
              </w:rPr>
              <w:t xml:space="preserve">y₁₀ REP</w:t>
            </w:r>
          </w:p>
        </w:tc>
        <w:tc>
          <w:tcPr>
            <w:shd w:val="clear" w:color="auto" w:fill="FFFFFF"/>
          </w:tcPr>
          <w:p>
            <w:pPr>
              <w:spacing w:before="40" w:after="40"/>
            </w:pPr>
            <w:r>
              <w:rPr>
                <w:sz w:val="15"/>
              </w:rPr>
              <w:t xml:space="preserve">Ruptura Epistémica+</w:t>
            </w:r>
          </w:p>
        </w:tc>
        <w:tc>
          <w:tcPr>
            <w:shd w:val="clear" w:color="auto" w:fill="FFFFFF"/>
          </w:tcPr>
          <w:p>
            <w:pPr>
              <w:spacing w:before="40" w:after="40"/>
            </w:pPr>
            <w:r>
              <w:rPr>
                <w:sz w:val="15"/>
              </w:rPr>
              <w:t xml:space="preserve">Clasif. IO CFH-BERT v2</w:t>
            </w:r>
          </w:p>
        </w:tc>
        <w:tc>
          <w:tcPr>
            <w:shd w:val="clear" w:color="auto" w:fill="FFFFFF"/>
          </w:tcPr>
          <w:p>
            <w:pPr>
              <w:spacing w:before="40" w:after="40"/>
            </w:pPr>
            <w:r>
              <w:rPr>
                <w:sz w:val="15"/>
              </w:rPr>
              <w:t xml:space="preserve">Sequence labeling IO</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d A-B=0.371***. Único indicador que separa A vs B.</w:t>
            </w:r>
          </w:p>
        </w:tc>
      </w:tr>
      <w:tr>
        <w:tc>
          <w:tcPr>
            <w:shd w:val="clear" w:color="auto" w:fill="EBF3FB"/>
          </w:tcPr>
          <w:p>
            <w:pPr>
              <w:spacing w:before="40" w:after="40"/>
            </w:pPr>
            <w:r>
              <w:rPr>
                <w:sz w:val="15"/>
              </w:rPr>
              <w:t>DIS</w:t>
            </w:r>
          </w:p>
        </w:tc>
        <w:tc>
          <w:tcPr>
            <w:shd w:val="clear" w:color="auto" w:fill="EBF3FB"/>
          </w:tcPr>
          <w:p>
            <w:pPr>
              <w:spacing w:before="40" w:after="40"/>
            </w:pPr>
            <w:r>
              <w:rPr>
                <w:sz w:val="15"/>
              </w:rPr>
              <w:t>Inj. Discursiva</w:t>
            </w:r>
          </w:p>
        </w:tc>
        <w:tc>
          <w:tcPr>
            <w:shd w:val="clear" w:color="auto" w:fill="EBF3FB"/>
          </w:tcPr>
          <w:p>
            <w:pPr>
              <w:spacing w:before="40" w:after="40"/>
            </w:pPr>
            <w:r>
              <w:rPr>
                <w:sz w:val="15"/>
              </w:rPr>
              <w:t>Índice compuesto</w:t>
            </w:r>
          </w:p>
        </w:tc>
        <w:tc>
          <w:tcPr>
            <w:shd w:val="clear" w:color="auto" w:fill="EBF3FB"/>
          </w:tcPr>
          <w:p>
            <w:pPr>
              <w:spacing w:before="40" w:after="40"/>
            </w:pPr>
            <w:r>
              <w:rPr>
                <w:sz w:val="15"/>
              </w:rPr>
              <w:t>Agregación ponderada</w:t>
            </w:r>
          </w:p>
        </w:tc>
        <w:tc>
          <w:tcPr>
            <w:shd w:val="clear" w:color="auto" w:fill="EBF3FB"/>
          </w:tcPr>
          <w:p>
            <w:pPr>
              <w:spacing w:before="40" w:after="40"/>
            </w:pPr>
            <w:r>
              <w:rPr>
                <w:sz w:val="15"/>
              </w:rPr>
              <w:t>A+B+C</w:t>
            </w:r>
          </w:p>
        </w:tc>
        <w:tc>
          <w:tcPr>
            <w:shd w:val="clear" w:color="auto" w:fill="EBF3FB"/>
          </w:tcPr>
          <w:p>
            <w:pPr>
              <w:spacing w:before="40" w:after="40"/>
            </w:pPr>
            <w:r>
              <w:rPr>
                <w:sz w:val="15"/>
              </w:rPr>
              <w:t>z-score A+B+C→sig</w:t>
            </w:r>
          </w:p>
        </w:tc>
        <w:tc>
          <w:tcPr>
            <w:shd w:val="clear" w:color="auto" w:fill="EBF3FB"/>
          </w:tcPr>
          <w:p>
            <w:pPr>
              <w:spacing w:before="40" w:after="40"/>
            </w:pPr>
            <w:r>
              <w:rPr>
                <w:sz w:val="15"/>
              </w:rPr>
              <w:t>0.40·EBI+0.30·SA+0.30·(1−REP). Pesos teóricos Galtung/Habermas/Fraser</w:t>
            </w:r>
          </w:p>
        </w:tc>
      </w:tr>
      <w:tr>
        <w:tc>
          <w:tcPr>
            <w:shd w:val="clear" w:color="auto" w:fill="EBF3FB"/>
          </w:tcPr>
          <w:p>
            <w:pPr>
              <w:spacing w:before="40" w:after="40"/>
            </w:pPr>
            <w:r>
              <w:rPr>
                <w:sz w:val="15"/>
              </w:rPr>
              <w:t xml:space="preserve">IEI</w:t>
            </w:r>
          </w:p>
        </w:tc>
        <w:tc>
          <w:tcPr>
            <w:shd w:val="clear" w:color="auto" w:fill="EBF3FB"/>
          </w:tcPr>
          <w:p>
            <w:pPr>
              <w:spacing w:before="40" w:after="40"/>
            </w:pPr>
            <w:r>
              <w:rPr>
                <w:sz w:val="15"/>
              </w:rPr>
              <w:t xml:space="preserve">Inj. Epistémica</w:t>
            </w:r>
          </w:p>
        </w:tc>
        <w:tc>
          <w:tcPr>
            <w:shd w:val="clear" w:color="auto" w:fill="EBF3FB"/>
          </w:tcPr>
          <w:p>
            <w:pPr>
              <w:spacing w:before="40" w:after="40"/>
            </w:pPr>
            <w:r>
              <w:rPr>
                <w:sz w:val="15"/>
              </w:rPr>
              <w:t xml:space="preserve">Índice compuesto</w:t>
            </w:r>
          </w:p>
        </w:tc>
        <w:tc>
          <w:tcPr>
            <w:shd w:val="clear" w:color="auto" w:fill="EBF3FB"/>
          </w:tcPr>
          <w:p>
            <w:pPr>
              <w:spacing w:before="40" w:after="40"/>
            </w:pPr>
            <w:r>
              <w:rPr>
                <w:sz w:val="15"/>
              </w:rPr>
              <w:t xml:space="preserve">Agregación ponderada</w:t>
            </w:r>
          </w:p>
        </w:tc>
        <w:tc>
          <w:tcPr>
            <w:shd w:val="clear" w:color="auto" w:fill="EBF3FB"/>
          </w:tcPr>
          <w:p>
            <w:pPr>
              <w:spacing w:before="40" w:after="40"/>
            </w:pPr>
            <w:r>
              <w:rPr>
                <w:sz w:val="15"/>
              </w:rPr>
              <w:t xml:space="preserve">A+B+C</w:t>
            </w:r>
          </w:p>
        </w:tc>
        <w:tc>
          <w:tcPr>
            <w:shd w:val="clear" w:color="auto" w:fill="EBF3FB"/>
          </w:tcPr>
          <w:p>
            <w:pPr>
              <w:spacing w:before="40" w:after="40"/>
            </w:pPr>
            <w:r>
              <w:rPr>
                <w:sz w:val="15"/>
              </w:rPr>
              <w:t xml:space="preserve">z-score A+B+C→sig</w:t>
            </w:r>
          </w:p>
        </w:tc>
        <w:tc>
          <w:tcPr>
            <w:shd w:val="clear" w:color="auto" w:fill="EBF3FB"/>
          </w:tcPr>
          <w:p>
            <w:pPr>
              <w:spacing w:before="40" w:after="40"/>
            </w:pPr>
            <w:r>
              <w:rPr>
                <w:sz w:val="15"/>
              </w:rPr>
              <w:t xml:space="preserve">Separa A vs B: p&lt;0.001 ***. Operacionaliza Fricker. ρ pesos=1.00.</w:t>
            </w:r>
          </w:p>
        </w:tc>
      </w:tr>
      <w:tr>
        <w:tc>
          <w:tcPr>
            <w:shd w:val="clear" w:color="auto" w:fill="F5EEFF"/>
          </w:tcPr>
          <w:p>
            <w:pPr>
              <w:spacing w:before="40" w:after="40"/>
            </w:pPr>
            <w:r>
              <w:rPr>
                <w:sz w:val="15"/>
              </w:rPr>
              <w:t xml:space="preserve">ICM dis_tri</w:t>
            </w:r>
          </w:p>
        </w:tc>
        <w:tc>
          <w:tcPr>
            <w:shd w:val="clear" w:color="auto" w:fill="F5EEFF"/>
          </w:tcPr>
          <w:p>
            <w:pPr>
              <w:spacing w:before="40" w:after="40"/>
            </w:pPr>
            <w:r>
              <w:rPr>
                <w:sz w:val="15"/>
              </w:rPr>
              <w:t xml:space="preserve">Disociación canales</w:t>
            </w:r>
          </w:p>
        </w:tc>
        <w:tc>
          <w:tcPr>
            <w:shd w:val="clear" w:color="auto" w:fill="F5EEFF"/>
          </w:tcPr>
          <w:p>
            <w:pPr>
              <w:spacing w:before="40" w:after="40"/>
            </w:pPr>
            <w:r>
              <w:rPr>
                <w:sz w:val="15"/>
              </w:rPr>
              <w:t xml:space="preserve">DSP+visión+NLP</w:t>
            </w:r>
          </w:p>
        </w:tc>
        <w:tc>
          <w:tcPr>
            <w:shd w:val="clear" w:color="auto" w:fill="F5EEFF"/>
          </w:tcPr>
          <w:p>
            <w:pPr>
              <w:spacing w:before="40" w:after="40"/>
            </w:pPr>
            <w:r>
              <w:rPr>
                <w:sz w:val="15"/>
              </w:rPr>
              <w:t xml:space="preserve">std(vocal,facial,verbal)</w:t>
            </w:r>
          </w:p>
        </w:tc>
        <w:tc>
          <w:tcPr>
            <w:shd w:val="clear" w:color="auto" w:fill="F5EEFF"/>
          </w:tcPr>
          <w:p>
            <w:pPr>
              <w:spacing w:before="40" w:after="40"/>
            </w:pPr>
            <w:r>
              <w:rPr>
                <w:sz w:val="15"/>
              </w:rPr>
              <w:t xml:space="preserve">Corpus C</w:t>
            </w:r>
          </w:p>
        </w:tc>
        <w:tc>
          <w:tcPr>
            <w:shd w:val="clear" w:color="auto" w:fill="F5EEFF"/>
          </w:tcPr>
          <w:p>
            <w:pPr>
              <w:spacing w:before="40" w:after="40"/>
            </w:pPr>
            <w:r>
              <w:rPr>
                <w:sz w:val="15"/>
              </w:rPr>
              <w:t xml:space="preserve">z-score Corpus C</w:t>
            </w:r>
          </w:p>
        </w:tc>
        <w:tc>
          <w:tcPr>
            <w:shd w:val="clear" w:color="auto" w:fill="F5EEFF"/>
          </w:tcPr>
          <w:p>
            <w:pPr>
              <w:spacing w:before="40" w:after="40"/>
            </w:pPr>
            <w:r>
              <w:rPr>
                <w:sz w:val="15"/>
              </w:rPr>
              <w:t xml:space="preserve">ρ(DIS,dis_tri)=+0.90. Casanare max=0.109.</w:t>
            </w:r>
          </w:p>
        </w:tc>
      </w:tr>
      <w:tr>
        <w:tc>
          <w:tcPr>
            <w:shd w:val="clear" w:color="auto" w:fill="F5EEFF"/>
          </w:tcPr>
          <w:p>
            <w:pPr>
              <w:spacing w:before="40" w:after="40"/>
            </w:pPr>
            <w:r>
              <w:rPr>
                <w:sz w:val="15"/>
              </w:rPr>
              <w:t xml:space="preserve">ICM cong_inj.</w:t>
            </w:r>
          </w:p>
        </w:tc>
        <w:tc>
          <w:tcPr>
            <w:shd w:val="clear" w:color="auto" w:fill="F5EEFF"/>
          </w:tcPr>
          <w:p>
            <w:pPr>
              <w:spacing w:before="40" w:after="40"/>
            </w:pPr>
            <w:r>
              <w:rPr>
                <w:sz w:val="15"/>
              </w:rPr>
              <w:t xml:space="preserve">Congruencia injusta</w:t>
            </w:r>
          </w:p>
        </w:tc>
        <w:tc>
          <w:tcPr>
            <w:shd w:val="clear" w:color="auto" w:fill="F5EEFF"/>
          </w:tcPr>
          <w:p>
            <w:pPr>
              <w:spacing w:before="40" w:after="40"/>
            </w:pPr>
            <w:r>
              <w:rPr>
                <w:sz w:val="15"/>
              </w:rPr>
              <w:t xml:space="preserve">DSP+visión+NLP</w:t>
            </w:r>
          </w:p>
        </w:tc>
        <w:tc>
          <w:tcPr>
            <w:shd w:val="clear" w:color="auto" w:fill="F5EEFF"/>
          </w:tcPr>
          <w:p>
            <w:pPr>
              <w:spacing w:before="40" w:after="40"/>
            </w:pPr>
            <w:r>
              <w:rPr>
                <w:sz w:val="15"/>
              </w:rPr>
              <w:t xml:space="preserve">int(v&lt;0.5∧f&lt;0.5∧vb&lt;0.5)</w:t>
            </w:r>
          </w:p>
        </w:tc>
        <w:tc>
          <w:tcPr>
            <w:shd w:val="clear" w:color="auto" w:fill="F5EEFF"/>
          </w:tcPr>
          <w:p>
            <w:pPr>
              <w:spacing w:before="40" w:after="40"/>
            </w:pPr>
            <w:r>
              <w:rPr>
                <w:sz w:val="15"/>
              </w:rPr>
              <w:t xml:space="preserve">Corpus C</w:t>
            </w:r>
          </w:p>
        </w:tc>
        <w:tc>
          <w:tcPr>
            <w:shd w:val="clear" w:color="auto" w:fill="F5EEFF"/>
          </w:tcPr>
          <w:p>
            <w:pPr>
              <w:spacing w:before="40" w:after="40"/>
            </w:pPr>
            <w:r>
              <w:rPr>
                <w:sz w:val="15"/>
              </w:rPr>
              <w:t xml:space="preserve">z-score Corpus C</w:t>
            </w:r>
          </w:p>
        </w:tc>
        <w:tc>
          <w:tcPr>
            <w:shd w:val="clear" w:color="auto" w:fill="F5EEFF"/>
          </w:tcPr>
          <w:p>
            <w:pPr>
              <w:spacing w:before="40" w:after="40"/>
            </w:pPr>
            <w:r>
              <w:rPr>
                <w:sz w:val="15"/>
              </w:rPr>
              <w:t xml:space="preserve">Catatumbo+Costa Caribe=True. H_ICM_B.</w:t>
            </w:r>
          </w:p>
        </w:tc>
      </w:tr>
      <w:tr>
        <w:tc>
          <w:tcPr>
            <w:shd w:val="clear" w:color="auto" w:fill="F0F0F0"/>
          </w:tcPr>
          <w:p>
            <w:pPr>
              <w:spacing w:before="40" w:after="40"/>
            </w:pPr>
            <w:r>
              <w:rPr>
                <w:sz w:val="15"/>
              </w:rPr>
              <w:t xml:space="preserve">SEM</w:t>
            </w:r>
          </w:p>
        </w:tc>
        <w:tc>
          <w:tcPr>
            <w:shd w:val="clear" w:color="auto" w:fill="F0F0F0"/>
          </w:tcPr>
          <w:p>
            <w:pPr>
              <w:spacing w:before="40" w:after="40"/>
            </w:pPr>
            <w:r>
              <w:rPr>
                <w:sz w:val="15"/>
              </w:rPr>
              <w:t xml:space="preserve">Modelo exploratorio H₃</w:t>
            </w:r>
          </w:p>
        </w:tc>
        <w:tc>
          <w:tcPr>
            <w:shd w:val="clear" w:color="auto" w:fill="F0F0F0"/>
          </w:tcPr>
          <w:p>
            <w:pPr>
              <w:spacing w:before="40" w:after="40"/>
            </w:pPr>
            <w:r>
              <w:rPr>
                <w:sz w:val="15"/>
              </w:rPr>
              <w:t xml:space="preserve">SEM semopy MLW</w:t>
            </w:r>
          </w:p>
        </w:tc>
        <w:tc>
          <w:tcPr>
            <w:shd w:val="clear" w:color="auto" w:fill="F0F0F0"/>
          </w:tcPr>
          <w:p>
            <w:pPr>
              <w:spacing w:before="40" w:after="40"/>
            </w:pPr>
            <w:r>
              <w:rPr>
                <w:sz w:val="15"/>
              </w:rPr>
              <w:t xml:space="preserve">Efectos latentes+ajuste</w:t>
            </w:r>
          </w:p>
        </w:tc>
        <w:tc>
          <w:tcPr>
            <w:shd w:val="clear" w:color="auto" w:fill="F0F0F0"/>
          </w:tcPr>
          <w:p>
            <w:pPr>
              <w:spacing w:before="40" w:after="40"/>
            </w:pPr>
            <w:r>
              <w:rPr>
                <w:sz w:val="15"/>
              </w:rPr>
              <w:t xml:space="preserve">A+B+C</w:t>
            </w:r>
          </w:p>
        </w:tc>
        <w:tc>
          <w:tcPr>
            <w:shd w:val="clear" w:color="auto" w:fill="F0F0F0"/>
          </w:tcPr>
          <w:p>
            <w:pPr>
              <w:spacing w:before="40" w:after="40"/>
            </w:pPr>
            <w:r>
              <w:rPr>
                <w:sz w:val="15"/>
              </w:rPr>
              <w:t xml:space="preserve">—</w:t>
            </w:r>
          </w:p>
        </w:tc>
        <w:tc>
          <w:tcPr>
            <w:shd w:val="clear" w:color="auto" w:fill="F0F0F0"/>
          </w:tcPr>
          <w:p>
            <w:pPr>
              <w:spacing w:before="40" w:after="40"/>
            </w:pPr>
            <w:r>
              <w:rPr>
                <w:sz w:val="15"/>
              </w:rPr>
              <w:t xml:space="preserve">Modela error medición. Bloqueado IAA.</w:t>
            </w:r>
          </w:p>
        </w:tc>
      </w:tr>
    </w:tbl>
    <w:p>
      <w:pPr>
        <w:pStyle w:val="Normal"/>
        <w:jc w:val="both"/>
      </w:pPr>
      <w:r>
        <w:rPr>
          <w:i/>
          <w:color w:val="595959"/>
          <w:sz w:val="16"/>
        </w:rPr>
        <w:t>Nota. IO = Inside-Outside (sequence labeling). VSM = Vector Space Model. LM = Language Model. sig = sigmoid. z-score+sigmoid elimina valores extremos 0/1. El DIS se calcula con normalización z-score+sigmoid sobre la distribución conjunta; no separa A de B (dilución por agregación), a diferencia del IEI. Normalización A+B+C = distribución conjunta de 1,420 bloques. Nivel Corpus C = distribución oral conjunta (vocal 1,351 seg; facial 2,822 frames; verbal 547 bloques). El protocolo IAA de dos rondas alcanzó un acuerdo global sustancial (κ=0.722).</w:t>
      </w:r>
    </w:p>
    <w:p>
      <w:pPr>
        <w:pStyle w:val="Heading3"/>
        <w:spacing w:after="140" w:before="280"/>
        <w:outlineLvl w:val="2"/>
      </w:pPr>
      <w:r>
        <w:rPr>
          <w:rFonts w:ascii="Times New Roman" w:cs="Times New Roman" w:eastAsia="Times New Roman" w:hAnsi="Times New Roman"/>
          <w:b/>
          <w:bCs/>
          <w:i/>
          <w:iCs/>
          <w:color w:val="000000"/>
          <w:sz w:val="24"/>
          <w:szCs w:val="24"/>
        </w:rPr>
        <w:t>4.5.6 Estimación del modelo estadístico</w:t>
      </w:r>
    </w:p>
    <w:p>
      <w:pPr>
        <w:spacing w:after="200" w:line="360" w:lineRule="auto"/>
        <w:ind w:firstLine="720"/>
        <w:jc w:val="both"/>
      </w:pPr>
      <w:r>
        <w:rPr>
          <w:rFonts w:ascii="Times New Roman" w:cs="Times New Roman" w:eastAsia="Times New Roman" w:hAnsi="Times New Roman"/>
          <w:color w:val="000000"/>
          <w:sz w:val="24"/>
          <w:szCs w:val="24"/>
        </w:rPr>
        <w:t>El análisis estadístico se organiza en dos niveles. En el nivel descriptivo-comparativo, los indicadores se contrastan entre corpus mediante la prueba de Mann-Whitney U bilateral —una prueba no paramétrica que no asume normalidad en la distribución de los indicadores y es robusta ante muestras pequeñas y desbalanceadas, condiciones propias de los corpus de justicia transicional—, complementada con el tamaño de efecto de Cohen (d) para reportar la magnitud práctica de las diferencias más allá de su significancia y se sintetizan en los índices DIS = 0.40·EBI + 0.30·SA + 0.30·(1−REP) e IEI = 0.40·MAFAPO + 0.30·CIDH + 0.30·NV, con normalización z-score seguida de sigmoide sobre la distribución conjunta A+B+C. En el nivel estructural exploratorio, dado el tamaño del Corpus C (n=47), se estiman modelos de senderos e integraciones SEM de carácter exploratorio; el hallazgo estructural más robusto es la relación entre la distancia semántica al lenguaje de las víctimas y la ruptura epistémica positiva (y₈→y₁₀), consistente en dos universos independientes (β=−0.679 en Corpus C, β=−0.597 en el análisis tri-corpus, ambos con signo negativo). Para los modelos con variables latentes se reporta su naturaleza exploratoria por la limitación muestral.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59E0B" w:sz="1"/>
              <w:left w:val="single" w:color="F59E0B" w:sz="6"/>
              <w:bottom w:val="single" w:color="F59E0B" w:sz="1"/>
              <w:right w:val="single" w:color="F59E0B" w:sz="1"/>
            </w:tcBorders>
            <w:shd w:fill="FEF3CD" w:val="clear"/>
            <w:tcMar>
              <w:top w:type="dxa" w:w="100"/>
              <w:left w:type="dxa" w:w="200"/>
              <w:bottom w:type="dxa" w:w="100"/>
              <w:right w:type="dxa" w:w="120"/>
            </w:tcMar>
          </w:tcPr>
          <w:p>
            <w:pPr>
              <w:spacing w:after="0"/>
            </w:pPr>
            <w:r>
              <w:rPr>
                <w:rFonts w:ascii="Times New Roman" w:cs="Times New Roman" w:eastAsia="Times New Roman" w:hAnsi="Times New Roman"/>
                <w:b/>
                <w:bCs/>
                <w:color w:val="92400E"/>
                <w:sz w:val="22"/>
                <w:szCs w:val="22"/>
              </w:rPr>
              <w:t>Nota de estado (julio 2026): eGeMAPS OpenSMILE canal vocal completado (5 subcasos). ICM tri-canal ponderado calculado e integrado (§5.11). Canal facial de Costa Caribe reextraído de forma homogénea con MediaPipe, completando el Corpus C en los cinco subcasos. IAA de dos rondas completado (κ global sustancial = 0.722). Surprisal contrastivo (y₇) calculado sobre las unidades reales y reportado como análisis descriptivo. El SEM con variables latentes se mantiene en el plano exploratorio por el tamaño del Corpus C (n=47).</w:t>
            </w:r>
            <w:r>
              <w:rPr>
                <w:rFonts w:ascii="Times New Roman" w:cs="Times New Roman" w:eastAsia="Times New Roman" w:hAnsi="Times New Roman"/>
                <w:i/>
                <w:iCs/>
                <w:color w:val="92400E"/>
                <w:sz w:val="22"/>
                <w:szCs w:val="22"/>
              </w:rPr>
            </w:r>
          </w:p>
        </w:tc>
      </w:tr>
    </w:tbl>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4.6 Protocolo de validación</w:t>
      </w:r>
    </w:p>
    <w:p>
      <w:pPr>
        <w:pStyle w:val="Heading3"/>
        <w:spacing w:after="140" w:before="280"/>
        <w:outlineLvl w:val="2"/>
      </w:pPr>
      <w:r>
        <w:rPr>
          <w:rFonts w:ascii="Times New Roman" w:cs="Times New Roman" w:eastAsia="Times New Roman" w:hAnsi="Times New Roman"/>
          <w:b/>
          <w:bCs/>
          <w:i/>
          <w:iCs/>
          <w:color w:val="000000"/>
          <w:sz w:val="24"/>
          <w:szCs w:val="24"/>
        </w:rPr>
        <w:t xml:space="preserve">4.6.1 Validez de contenido</w:t>
      </w:r>
    </w:p>
    <w:p>
      <w:pPr>
        <w:spacing w:after="200" w:line="360" w:lineRule="auto"/>
        <w:ind w:firstLine="720"/>
        <w:jc w:val="both"/>
      </w:pPr>
      <w:r>
        <w:rPr>
          <w:rFonts w:ascii="Times New Roman" w:cs="Times New Roman" w:eastAsia="Times New Roman" w:hAnsi="Times New Roman"/>
          <w:color w:val="000000"/>
          <w:sz w:val="24"/>
          <w:szCs w:val="24"/>
        </w:rPr>
        <w:t xml:space="preserve">La validez de contenido se asegura mediante revisión experta del protocolo de anotación, calibración de anotadores con 20 fragmentos de práctica, e inclusión de reglas explícitas de desambiguación para los cinco casos difíciles más frecuentes.</w:t>
      </w:r>
    </w:p>
    <w:p>
      <w:pPr>
        <w:pStyle w:val="Heading3"/>
        <w:spacing w:after="140" w:before="280"/>
        <w:outlineLvl w:val="2"/>
      </w:pPr>
      <w:r>
        <w:rPr>
          <w:rFonts w:ascii="Times New Roman" w:cs="Times New Roman" w:eastAsia="Times New Roman" w:hAnsi="Times New Roman"/>
          <w:b/>
          <w:bCs/>
          <w:i/>
          <w:iCs/>
          <w:color w:val="000000"/>
          <w:sz w:val="24"/>
          <w:szCs w:val="24"/>
        </w:rPr>
        <w:t xml:space="preserve">4.6.2 Validez de constructo</w:t>
      </w:r>
    </w:p>
    <w:p>
      <w:pPr>
        <w:spacing w:after="200" w:line="360" w:lineRule="auto"/>
        <w:ind w:firstLine="720"/>
        <w:jc w:val="both"/>
      </w:pPr>
      <w:r>
        <w:rPr>
          <w:rFonts w:ascii="Times New Roman" w:cs="Times New Roman" w:eastAsia="Times New Roman" w:hAnsi="Times New Roman"/>
          <w:color w:val="000000"/>
          <w:sz w:val="24"/>
          <w:szCs w:val="24"/>
        </w:rPr>
        <w:t xml:space="preserve">La validez convergente se verifica con cargas factoriales ≥ 0.70 y AVE ≥ 0.50. La validez discriminante se verifica si el AVE supera el cuadrado de la correlación entre constructos. La validez nomológica se verifica si las relaciones entre constructos son coherentes con las predicciones del marco Fraser-Galtung-Habermas.</w:t>
      </w:r>
    </w:p>
    <w:p>
      <w:pPr>
        <w:pStyle w:val="Heading3"/>
        <w:spacing w:after="140" w:before="280"/>
        <w:outlineLvl w:val="2"/>
      </w:pPr>
      <w:r>
        <w:rPr>
          <w:rFonts w:ascii="Times New Roman" w:cs="Times New Roman" w:eastAsia="Times New Roman" w:hAnsi="Times New Roman"/>
          <w:b/>
          <w:bCs/>
          <w:i/>
          <w:iCs/>
          <w:color w:val="000000"/>
          <w:sz w:val="24"/>
          <w:szCs w:val="24"/>
        </w:rPr>
        <w:t xml:space="preserve">4.6.3 Validez externa</w:t>
      </w:r>
    </w:p>
    <w:p>
      <w:pPr>
        <w:spacing w:after="200" w:line="360" w:lineRule="auto"/>
        <w:ind w:firstLine="720"/>
        <w:jc w:val="both"/>
      </w:pPr>
      <w:r>
        <w:rPr>
          <w:rFonts w:ascii="Times New Roman" w:cs="Times New Roman" w:eastAsia="Times New Roman" w:hAnsi="Times New Roman"/>
          <w:color w:val="000000"/>
          <w:sz w:val="24"/>
          <w:szCs w:val="24"/>
        </w:rPr>
        <w:t xml:space="preserve">La validez externa del índice de injusticia discursiva se evalúa comparando los scores calculados para n=20 casos con evaluaciones cualitativas independientes de investigadores especialistas en derechos humanos y análisis del discurso (correlación de Spearman, umbral r_s ≥ 0.70). La validez del ICM se evalúa, siguiendo el procedimiento de Baird y Coutinho (2019), mediante la correlación entre el ICM calculado y la percepción humana de congruencia comunicativa —la coherencia entre lo que el compareciente dice y cómo lo expresa vocal y facialmente— sobre una muestra de segmentos del Corpus C. Coherentemente con las salvaguardas epistemológicas del ICM, esta validación contrasta la congruencia entre canales, no la sinceridad psicológica individual del compareciente.</w:t>
      </w:r>
    </w:p>
    <w:p>
      <w:pPr>
        <w:pStyle w:val="Heading3"/>
        <w:spacing w:after="140" w:before="280"/>
        <w:outlineLvl w:val="2"/>
      </w:pPr>
      <w:r>
        <w:rPr>
          <w:rFonts w:ascii="Times New Roman" w:cs="Times New Roman" w:eastAsia="Times New Roman" w:hAnsi="Times New Roman"/>
          <w:b/>
          <w:bCs/>
          <w:i/>
          <w:iCs/>
          <w:color w:val="000000"/>
          <w:sz w:val="24"/>
          <w:szCs w:val="24"/>
        </w:rPr>
        <w:t xml:space="preserve">4.6.4 Validez de replicabilidad</w:t>
      </w:r>
    </w:p>
    <w:p>
      <w:pPr>
        <w:spacing w:after="200" w:line="360" w:lineRule="auto"/>
        <w:ind w:firstLine="720"/>
        <w:jc w:val="both"/>
      </w:pPr>
      <w:r>
        <w:rPr>
          <w:rFonts w:ascii="Times New Roman" w:cs="Times New Roman" w:eastAsia="Times New Roman" w:hAnsi="Times New Roman"/>
          <w:color w:val="000000"/>
          <w:sz w:val="24"/>
          <w:szCs w:val="24"/>
        </w:rPr>
        <w:t>El framework CFH está diseñado para ser replicable. El repositorio público en GitHub contiene el código completo (pyproject.toml, requirements.txt, datos de muestra), los centroides MAFAPO v5 y CIDH v3, el protocolo de anotación, y la documentación de cada módulo del pipeline. La replicabilidad se evalúa mediante la capacidad de un investigador externo de reproducir los resultados principales siguiendo la documentación del repositorio, apoyada en el paquete reproducible auditado que acompaña a la tesis.</w:t>
      </w:r>
    </w:p>
    <w:p>
      <w:pPr>
        <w:spacing w:after="120"/>
      </w:pPr>
      <w:r>
        <w:rPr>
          <w:rFonts w:ascii="Times New Roman" w:cs="Times New Roman" w:eastAsia="Times New Roman" w:hAnsi="Times New Roman"/>
          <w:color w:val="000000"/>
          <w:sz w:val="24"/>
          <w:szCs w:val="24"/>
        </w:rPr>
        <w:t xml:space="preserve"/>
      </w:r>
    </w:p>
    <w:p>
      <w:pPr>
        <w:spacing w:after="200" w:before="480"/>
      </w:pPr>
      <w:r>
        <w:rPr>
          <w:rFonts w:ascii="Times New Roman" w:cs="Times New Roman" w:eastAsia="Times New Roman" w:hAnsi="Times New Roman"/>
          <w:b/>
          <w:bCs/>
          <w:color w:val="000000"/>
          <w:sz w:val="22"/>
          <w:szCs w:val="22"/>
        </w:rPr>
        <w:t xml:space="preserve">Referencias del capítulo</w:t>
      </w:r>
    </w:p>
    <w:p>
      <w:pPr>
        <w:spacing w:after="120"/>
        <w:ind w:left="720" w:hanging="720"/>
        <w:jc w:val="both"/>
      </w:pPr>
      <w:r>
        <w:rPr>
          <w:rFonts w:ascii="Times New Roman" w:cs="Times New Roman" w:eastAsia="Times New Roman" w:hAnsi="Times New Roman"/>
          <w:color w:val="000000"/>
          <w:sz w:val="20"/>
          <w:szCs w:val="20"/>
        </w:rPr>
        <w:t xml:space="preserve">Baird, A. y Coutinho, E. (2019). Sincerity in Acted Speech: The Sincere Apology Corpus (SinA-C). INTERSPEECH 2019.</w:t>
      </w:r>
    </w:p>
    <w:p>
      <w:pPr>
        <w:spacing w:after="120"/>
        <w:ind w:left="720" w:hanging="720"/>
        <w:jc w:val="both"/>
      </w:pPr>
      <w:r>
        <w:rPr>
          <w:rFonts w:ascii="Times New Roman" w:cs="Times New Roman" w:eastAsia="Times New Roman" w:hAnsi="Times New Roman"/>
          <w:color w:val="000000"/>
          <w:sz w:val="20"/>
          <w:szCs w:val="20"/>
        </w:rPr>
        <w:t xml:space="preserve">Lugaresi, C., Tang, J., Nash, H., McClanahan, C., Uboweja, E., Hays, M., Zhang, F., Chang, C.-L., Yong, M. G., Lee, J., Chang, W.-T., Hua, W., Georg, M., y Grundmann, M. (2019). MediaPipe: A Framework for Building Perception Pipelines. arXiv:1906.08172. https://doi.org/10.48550/arXiv.1906.08172</w:t>
      </w:r>
    </w:p>
    <w:p>
      <w:pPr>
        <w:spacing w:after="120"/>
        <w:ind w:left="720" w:hanging="720"/>
        <w:jc w:val="both"/>
      </w:pPr>
      <w:r>
        <w:rPr>
          <w:rFonts w:ascii="Times New Roman" w:cs="Times New Roman" w:eastAsia="Times New Roman" w:hAnsi="Times New Roman"/>
          <w:color w:val="000000"/>
          <w:sz w:val="20"/>
          <w:szCs w:val="20"/>
        </w:rPr>
        <w:t xml:space="preserve">Bredin, H., et al. (2023). pyannote.audio 2.1 speaker diarization pipeline. ICASSP 2023.</w:t>
      </w:r>
    </w:p>
    <w:p>
      <w:pPr>
        <w:spacing w:after="120"/>
        <w:ind w:left="720" w:hanging="720"/>
        <w:jc w:val="both"/>
      </w:pPr>
      <w:r>
        <w:rPr>
          <w:rFonts w:ascii="Times New Roman" w:cs="Times New Roman" w:eastAsia="Times New Roman" w:hAnsi="Times New Roman"/>
          <w:color w:val="000000"/>
          <w:sz w:val="20"/>
          <w:szCs w:val="20"/>
        </w:rPr>
        <w:t xml:space="preserve">Cañete, J., Chaperon, G., Fuentes, R., Ho, J.-H., Kang, H., y Pérez, J. (2020). Spanish pre-trained BERT model and evaluation data. ICLR 2020 Workshop on Multilingual Representations for NLP.</w:t>
      </w:r>
    </w:p>
    <w:p>
      <w:pPr>
        <w:spacing w:after="120" w:line="360" w:lineRule="auto"/>
        <w:jc w:val="both"/>
      </w:pPr>
      <w:r>
        <w:rPr>
          <w:rFonts w:ascii="Times New Roman" w:cs="Times New Roman" w:eastAsia="Times New Roman" w:hAnsi="Times New Roman"/>
          <w:i/>
          <w:sz w:val="24"/>
          <w:szCs w:val="24"/>
        </w:rPr>
        <w:t xml:space="preserve">Ekman, P., Friesen, W. V., y Hager, J. C. (2002). Facial Action Coding System (FACS): The Manual on CD-ROM. Salt Lake City: Research Nexus / A Human Face.</w:t>
      </w:r>
    </w:p>
    <w:p>
      <w:pPr>
        <w:spacing w:after="120"/>
        <w:ind w:left="720" w:hanging="720"/>
        <w:jc w:val="both"/>
      </w:pPr>
      <w:r>
        <w:rPr>
          <w:rFonts w:ascii="Times New Roman" w:cs="Times New Roman" w:eastAsia="Times New Roman" w:hAnsi="Times New Roman"/>
          <w:color w:val="000000"/>
          <w:sz w:val="20"/>
          <w:szCs w:val="20"/>
        </w:rPr>
        <w:t xml:space="preserve">Eyben, F., Scherer, K. R., Schuller, B. W., et al. (2016). The Geneva Minimalistic Acoustic Parameter Set (GeMAPS) for Voice Research and Affective Computing. IEEE T-AFFC, 7(2), 190–202.</w:t>
      </w:r>
    </w:p>
    <w:p>
      <w:pPr>
        <w:spacing w:after="120"/>
        <w:ind w:left="720" w:hanging="720"/>
        <w:jc w:val="both"/>
      </w:pPr>
      <w:r>
        <w:rPr>
          <w:rFonts w:ascii="Times New Roman" w:cs="Times New Roman" w:eastAsia="Times New Roman" w:hAnsi="Times New Roman"/>
          <w:color w:val="000000"/>
          <w:sz w:val="20"/>
          <w:szCs w:val="20"/>
        </w:rPr>
        <w:t xml:space="preserve">Igolkina, A. A. y Meshcheryakov, G. (2020). semopy: A Python package for Structural Equation Models. arXiv:2003.05838.</w:t>
      </w:r>
    </w:p>
    <w:p>
      <w:pPr>
        <w:spacing w:after="120"/>
        <w:ind w:left="720" w:hanging="720"/>
        <w:jc w:val="both"/>
      </w:pPr>
      <w:r>
        <w:rPr>
          <w:rFonts w:ascii="Times New Roman" w:cs="Times New Roman" w:eastAsia="Times New Roman" w:hAnsi="Times New Roman"/>
          <w:color w:val="000000"/>
          <w:sz w:val="20"/>
          <w:szCs w:val="20"/>
        </w:rPr>
        <w:t xml:space="preserve">Kline, R. B. (2023). Principles and Practice of Structural Equation Modeling (5.ª ed.). Guilford Press.</w:t>
      </w:r>
    </w:p>
    <w:p>
      <w:pPr>
        <w:spacing w:after="120"/>
        <w:ind w:left="720" w:hanging="720"/>
        <w:jc w:val="both"/>
      </w:pPr>
      <w:r>
        <w:rPr>
          <w:rFonts w:ascii="Times New Roman" w:cs="Times New Roman" w:eastAsia="Times New Roman" w:hAnsi="Times New Roman"/>
          <w:color w:val="000000"/>
          <w:sz w:val="20"/>
          <w:szCs w:val="20"/>
        </w:rPr>
        <w:t xml:space="preserve">Landis, J. R. y Koch, G. G. (1977). The measurement of observer agreement for categorical data. Biometrics, 33(1), 159–174.</w:t>
      </w:r>
    </w:p>
    <w:p>
      <w:pPr>
        <w:spacing w:after="120"/>
        <w:ind w:left="720" w:hanging="720"/>
        <w:jc w:val="both"/>
      </w:pPr>
      <w:r>
        <w:rPr>
          <w:rFonts w:ascii="Times New Roman" w:cs="Times New Roman" w:eastAsia="Times New Roman" w:hAnsi="Times New Roman"/>
          <w:color w:val="000000"/>
          <w:sz w:val="20"/>
          <w:szCs w:val="20"/>
        </w:rPr>
        <w:t xml:space="preserve">Lugaresi, C., et al. (2023). MediaPipe: A Framework for Perceiving and Processing Reality. CVPR Workshop on Computer Vision for Augmented and Virtual Reality.</w:t>
      </w:r>
    </w:p>
    <w:p>
      <w:pPr>
        <w:spacing w:after="120"/>
        <w:ind w:left="720" w:hanging="720"/>
        <w:jc w:val="both"/>
      </w:pPr>
      <w:r>
        <w:rPr>
          <w:rFonts w:ascii="Times New Roman" w:cs="Times New Roman" w:eastAsia="Times New Roman" w:hAnsi="Times New Roman"/>
          <w:color w:val="000000"/>
          <w:sz w:val="20"/>
          <w:szCs w:val="20"/>
        </w:rPr>
        <w:t xml:space="preserve">MAFAPO — Madres de Falsos Positivos de Soacha y Bogotá. (2021). Unidas por la Memoria y la Verdad. OIM / Embajada de Suecia.</w:t>
      </w:r>
    </w:p>
    <w:p>
      <w:pPr>
        <w:spacing w:after="120"/>
        <w:ind w:left="720" w:hanging="720"/>
        <w:jc w:val="both"/>
      </w:pPr>
      <w:r>
        <w:rPr>
          <w:rFonts w:ascii="Times New Roman" w:cs="Times New Roman" w:eastAsia="Times New Roman" w:hAnsi="Times New Roman"/>
          <w:color w:val="000000"/>
          <w:sz w:val="20"/>
          <w:szCs w:val="20"/>
        </w:rPr>
        <w:t xml:space="preserve">Radford, A., Kim, J. W., Xu, T., Brockman, G., McLeavey, C., y Sutskever, I. (2022). Robust speech recognition via large-scale weak supervision. Proceedings of ICML 2023.</w:t>
      </w:r>
    </w:p>
    <w:p>
      <w:pPr>
        <w:spacing w:after="120"/>
        <w:ind w:left="720" w:hanging="720"/>
        <w:jc w:val="both"/>
      </w:pPr>
      <w:r>
        <w:rPr>
          <w:rFonts w:ascii="Times New Roman" w:cs="Times New Roman" w:eastAsia="Times New Roman" w:hAnsi="Times New Roman"/>
          <w:color w:val="000000"/>
          <w:sz w:val="20"/>
          <w:szCs w:val="20"/>
        </w:rPr>
        <w:t xml:space="preserve">Scientific Reports. (2024). The nonverbal expression of guilt in healthy adults. Nature, vol. 14, art. 10607.</w:t>
      </w:r>
    </w:p>
    <w:p>
      <w:pPr>
        <w:spacing w:after="120"/>
        <w:ind w:left="720" w:hanging="720"/>
        <w:jc w:val="both"/>
      </w:pPr>
      <w:r>
        <w:rPr>
          <w:rFonts w:ascii="Times New Roman" w:cs="Times New Roman" w:eastAsia="Times New Roman" w:hAnsi="Times New Roman"/>
          <w:color w:val="000000"/>
          <w:sz w:val="20"/>
          <w:szCs w:val="20"/>
        </w:rPr>
        <w:t xml:space="preserve">Yang, W., Alsarra, S., Abdeljaber, L., Zawad, N., Delaram, Z., Osorio, J., Khan, L., Brandt, P., y D'Orazio, V. (2023). ConfliBERT-Spanish: A Pre-trained Spanish Language Model for Political Conflict and Violence. IEEE CiSt 2023, pp. 287–292.</w:t>
      </w:r>
    </w:p>
    <w:p>
      <w:r>
        <w:br w:type="page"/>
      </w:r>
    </w:p>
    <w:p>
      <w:pPr>
        <w:pStyle w:val="Heading1"/>
        <w:spacing w:after="120" w:before="240"/>
      </w:pPr>
      <w:r>
        <w:rPr>
          <w:b/>
          <w:bCs/>
          <w:color w:val="1F3864"/>
          <w:sz w:val="32"/>
          <w:szCs w:val="32"/>
        </w:rPr>
        <w:t xml:space="preserve">5. Resultados</w:t>
      </w:r>
    </w:p>
    <w:p>
      <w:pPr>
        <w:spacing w:after="120" w:line="276"/>
        <w:jc w:val="both"/>
      </w:pPr>
      <w:r>
        <w:rPr>
          <w:sz w:val="22"/>
          <w:szCs w:val="22"/>
        </w:rPr>
        <w:t xml:space="preserve">Este capítulo presenta los resultados del análisis cuantitativo del corpus CFH organizados en tres capas: Capa 1 léxica (indicadores de violencia discursiva, accountability, hedging y léxico emocional), Capa 2 semántica (distancias MAFAPO/CIDH, REP Score, control temporal y análisis de senderos) y Capa 3 multimodal (diarización, análisis facial, vocal y verbal del Corpus C). Las secciones finales integran los índices sintéticos DIS e IEI sobre los tres corpus, la fiabilidad inter-anotador y el análisis estructural exploratorio. Todos los valores reportados corresponden al pipeline depurado y auditado: el Corpus B fue fortalecido a 80 secciones reales y los indicadores fueron recalculados con las versiones definitivas (y₁ mediante gazetteer, y₁₀ en su versión v5).</w:t>
      </w:r>
    </w:p>
    <w:p>
      <w:pPr>
        <w:pStyle w:val="Heading2"/>
        <w:spacing w:after="100" w:before="200"/>
      </w:pPr>
      <w:r>
        <w:rPr>
          <w:b/>
          <w:bCs/>
          <w:color w:val="1F3864"/>
          <w:sz w:val="26"/>
          <w:szCs w:val="26"/>
        </w:rPr>
        <w:t xml:space="preserve">5.1 Descripción del corpus procesado</w:t>
      </w:r>
    </w:p>
    <w:p>
      <w:pPr>
        <w:spacing w:after="60" w:before="60"/>
      </w:pPr>
      <w:r>
        <w:rPr>
          <w:i/>
          <w:iCs/>
          <w:color w:val="595959"/>
          <w:sz w:val="19"/>
          <w:szCs w:val="19"/>
        </w:rPr>
        <w:t xml:space="preserve">Tabla 5.1. Corpus CFH — descripción por subsistema.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400"/>
        <w:gridCol w:w="1800"/>
        <w:gridCol w:w="3760"/>
      </w:tblGrid>
      <w:tr>
        <w:trPr>
          <w:tblHeader/>
        </w:trPr>
        <w:tc>
          <w:tcPr>
            <w:tcW w:type="dxa" w:w="1400"/>
            <w:shd w:fill="1F3864" w:val="clear"/>
          </w:tcPr>
          <w:p>
            <w:pPr>
              <w:jc w:val="center"/>
            </w:pPr>
            <w:r>
              <w:rPr>
                <w:b/>
                <w:bCs/>
                <w:color w:val="FFFFFF"/>
                <w:sz w:val="19"/>
                <w:szCs w:val="19"/>
              </w:rPr>
              <w:t xml:space="preserve">Corpus</w:t>
            </w:r>
          </w:p>
        </w:tc>
        <w:tc>
          <w:tcPr>
            <w:tcW w:type="dxa" w:w="1000"/>
            <w:shd w:fill="1F3864" w:val="clear"/>
          </w:tcPr>
          <w:p>
            <w:pPr>
              <w:jc w:val="center"/>
            </w:pPr>
            <w:r>
              <w:rPr>
                <w:b/>
                <w:bCs/>
                <w:color w:val="FFFFFF"/>
                <w:sz w:val="19"/>
                <w:szCs w:val="19"/>
              </w:rPr>
              <w:t xml:space="preserve">Docs</w:t>
            </w:r>
          </w:p>
        </w:tc>
        <w:tc>
          <w:tcPr>
            <w:tcW w:type="dxa" w:w="1400"/>
            <w:shd w:fill="1F3864" w:val="clear"/>
          </w:tcPr>
          <w:p>
            <w:pPr>
              <w:jc w:val="center"/>
            </w:pPr>
            <w:r>
              <w:rPr>
                <w:b/>
                <w:bCs/>
                <w:color w:val="FFFFFF"/>
                <w:sz w:val="19"/>
                <w:szCs w:val="19"/>
              </w:rPr>
              <w:t xml:space="preserve">Bloques</w:t>
            </w:r>
          </w:p>
        </w:tc>
        <w:tc>
          <w:tcPr>
            <w:tcW w:type="dxa" w:w="1800"/>
            <w:shd w:fill="1F3864" w:val="clear"/>
          </w:tcPr>
          <w:p>
            <w:pPr>
              <w:jc w:val="center"/>
            </w:pPr>
            <w:r>
              <w:rPr>
                <w:b/>
                <w:bCs/>
                <w:color w:val="FFFFFF"/>
                <w:sz w:val="19"/>
                <w:szCs w:val="19"/>
              </w:rPr>
              <w:t xml:space="preserve">Período</w:t>
            </w:r>
          </w:p>
        </w:tc>
        <w:tc>
          <w:tcPr>
            <w:tcW w:type="dxa" w:w="3760"/>
            <w:shd w:fill="1F3864" w:val="clear"/>
          </w:tcPr>
          <w:p>
            <w:pPr>
              <w:jc w:val="center"/>
            </w:pPr>
            <w:r>
              <w:rPr>
                <w:b/>
                <w:bCs/>
                <w:color w:val="FFFFFF"/>
                <w:sz w:val="19"/>
                <w:szCs w:val="19"/>
              </w:rPr>
              <w:t xml:space="preserve">Fuente</w:t>
            </w:r>
          </w:p>
        </w:tc>
      </w:tr>
      <w:tr>
        <w:tc>
          <w:tcPr>
            <w:tcW w:type="dxa" w:w="1400"/>
            <w:shd w:fill="FFFFFF" w:val="clear"/>
          </w:tcPr>
          <w:p>
            <w:pPr>
              <w:jc w:val="left"/>
            </w:pPr>
            <w:r>
              <w:rPr>
                <w:b/>
                <w:bCs/>
                <w:sz w:val="19"/>
                <w:szCs w:val="19"/>
              </w:rPr>
              <w:t xml:space="preserve">A-CE</w:t>
            </w:r>
          </w:p>
        </w:tc>
        <w:tc>
          <w:tcPr>
            <w:tcW w:type="dxa" w:w="1000"/>
            <w:shd w:fill="FFFFFF" w:val="clear"/>
          </w:tcPr>
          <w:p>
            <w:pPr>
              <w:jc w:val="center"/>
            </w:pPr>
            <w:r>
              <w:rPr>
                <w:b w:val="false"/>
                <w:bCs w:val="false"/>
                <w:sz w:val="19"/>
                <w:szCs w:val="19"/>
              </w:rPr>
              <w:t xml:space="preserve">~200</w:t>
            </w:r>
          </w:p>
        </w:tc>
        <w:tc>
          <w:tcPr>
            <w:tcW w:type="dxa" w:w="1400"/>
            <w:shd w:fill="FFFFFF" w:val="clear"/>
          </w:tcPr>
          <w:p>
            <w:pPr>
              <w:jc w:val="center"/>
            </w:pPr>
            <w:r>
              <w:rPr>
                <w:b w:val="false"/>
                <w:bCs w:val="false"/>
                <w:sz w:val="19"/>
                <w:szCs w:val="19"/>
              </w:rPr>
              <w:t xml:space="preserve">520</w:t>
            </w:r>
          </w:p>
        </w:tc>
        <w:tc>
          <w:tcPr>
            <w:tcW w:type="dxa" w:w="1800"/>
            <w:shd w:fill="FFFFFF" w:val="clear"/>
          </w:tcPr>
          <w:p>
            <w:pPr>
              <w:jc w:val="center"/>
            </w:pPr>
            <w:r>
              <w:rPr>
                <w:b w:val="false"/>
                <w:bCs w:val="false"/>
                <w:sz w:val="19"/>
                <w:szCs w:val="19"/>
              </w:rPr>
              <w:t xml:space="preserve">1994–2021</w:t>
            </w:r>
          </w:p>
        </w:tc>
        <w:tc>
          <w:tcPr>
            <w:tcW w:type="dxa" w:w="3760"/>
            <w:shd w:fill="FFFFFF" w:val="clear"/>
          </w:tcPr>
          <w:p>
            <w:pPr>
              <w:jc w:val="center"/>
            </w:pPr>
            <w:r>
              <w:rPr>
                <w:b w:val="false"/>
                <w:bCs w:val="false"/>
                <w:sz w:val="19"/>
                <w:szCs w:val="19"/>
              </w:rPr>
              <w:t xml:space="preserve">Consejo de Estado — reparación directa</w:t>
            </w:r>
          </w:p>
        </w:tc>
      </w:tr>
      <w:tr>
        <w:tc>
          <w:tcPr>
            <w:tcW w:type="dxa" w:w="1400"/>
            <w:shd w:fill="F2F2F2" w:val="clear"/>
          </w:tcPr>
          <w:p>
            <w:pPr>
              <w:jc w:val="left"/>
            </w:pPr>
            <w:r>
              <w:rPr>
                <w:b/>
                <w:bCs/>
                <w:sz w:val="19"/>
                <w:szCs w:val="19"/>
              </w:rPr>
              <w:t xml:space="preserve">A-CSJ</w:t>
            </w:r>
          </w:p>
        </w:tc>
        <w:tc>
          <w:tcPr>
            <w:tcW w:type="dxa" w:w="1000"/>
            <w:shd w:fill="F2F2F2" w:val="clear"/>
          </w:tcPr>
          <w:p>
            <w:pPr>
              <w:jc w:val="center"/>
            </w:pPr>
            <w:r>
              <w:rPr>
                <w:b w:val="false"/>
                <w:bCs w:val="false"/>
                <w:sz w:val="19"/>
                <w:szCs w:val="19"/>
              </w:rPr>
              <w:t xml:space="preserve">~86</w:t>
            </w:r>
          </w:p>
        </w:tc>
        <w:tc>
          <w:tcPr>
            <w:tcW w:type="dxa" w:w="1400"/>
            <w:shd w:fill="F2F2F2" w:val="clear"/>
          </w:tcPr>
          <w:p>
            <w:pPr>
              <w:jc w:val="center"/>
            </w:pPr>
            <w:r>
              <w:rPr>
                <w:b w:val="false"/>
                <w:bCs w:val="false"/>
                <w:sz w:val="19"/>
                <w:szCs w:val="19"/>
              </w:rPr>
              <w:t xml:space="preserve">299</w:t>
            </w:r>
          </w:p>
        </w:tc>
        <w:tc>
          <w:tcPr>
            <w:tcW w:type="dxa" w:w="1800"/>
            <w:shd w:fill="F2F2F2" w:val="clear"/>
          </w:tcPr>
          <w:p>
            <w:pPr>
              <w:jc w:val="center"/>
            </w:pPr>
            <w:r>
              <w:rPr>
                <w:b w:val="false"/>
                <w:bCs w:val="false"/>
                <w:sz w:val="19"/>
                <w:szCs w:val="19"/>
              </w:rPr>
              <w:t xml:space="preserve">2012–2020</w:t>
            </w:r>
          </w:p>
        </w:tc>
        <w:tc>
          <w:tcPr>
            <w:tcW w:type="dxa" w:w="3760"/>
            <w:shd w:fill="F2F2F2" w:val="clear"/>
          </w:tcPr>
          <w:p>
            <w:pPr>
              <w:jc w:val="center"/>
            </w:pPr>
            <w:r>
              <w:rPr>
                <w:b w:val="false"/>
                <w:bCs w:val="false"/>
                <w:sz w:val="19"/>
                <w:szCs w:val="19"/>
              </w:rPr>
              <w:t xml:space="preserve">Corte Suprema Sala Penal — casación</w:t>
            </w:r>
          </w:p>
        </w:tc>
      </w:tr>
      <w:tr>
        <w:tc>
          <w:tcPr>
            <w:tcW w:type="dxa" w:w="1400"/>
            <w:shd w:fill="FFFFFF" w:val="clear"/>
          </w:tcPr>
          <w:p>
            <w:pPr>
              <w:jc w:val="left"/>
            </w:pPr>
            <w:r>
              <w:rPr>
                <w:b/>
                <w:bCs/>
                <w:sz w:val="19"/>
                <w:szCs w:val="19"/>
              </w:rPr>
              <w:t xml:space="preserve">B-JEP</w:t>
            </w:r>
          </w:p>
        </w:tc>
        <w:tc>
          <w:tcPr>
            <w:tcW w:type="dxa" w:w="1000"/>
            <w:shd w:fill="FFFFFF" w:val="clear"/>
          </w:tcPr>
          <w:p>
            <w:pPr>
              <w:jc w:val="center"/>
            </w:pPr>
            <w:r>
              <w:rPr>
                <w:b w:val="false"/>
                <w:bCs w:val="false"/>
                <w:sz w:val="19"/>
                <w:szCs w:val="19"/>
              </w:rPr>
              <w:t xml:space="preserve">14</w:t>
            </w:r>
          </w:p>
        </w:tc>
        <w:tc>
          <w:tcPr>
            <w:tcW w:type="dxa" w:w="1400"/>
            <w:shd w:fill="FFFFFF" w:val="clear"/>
          </w:tcPr>
          <w:p>
            <w:pPr>
              <w:jc w:val="center"/>
            </w:pPr>
            <w:r>
              <w:rPr>
                <w:b w:val="false"/>
                <w:bCs w:val="false"/>
                <w:sz w:val="19"/>
                <w:szCs w:val="19"/>
              </w:rPr>
              <w:t xml:space="preserve">80 secc.</w:t>
            </w:r>
          </w:p>
        </w:tc>
        <w:tc>
          <w:tcPr>
            <w:tcW w:type="dxa" w:w="1800"/>
            <w:shd w:fill="FFFFFF" w:val="clear"/>
          </w:tcPr>
          <w:p>
            <w:pPr>
              <w:jc w:val="center"/>
            </w:pPr>
            <w:r>
              <w:rPr>
                <w:b w:val="false"/>
                <w:bCs w:val="false"/>
                <w:sz w:val="19"/>
                <w:szCs w:val="19"/>
              </w:rPr>
              <w:t xml:space="preserve">2021–2024</w:t>
            </w:r>
          </w:p>
        </w:tc>
        <w:tc>
          <w:tcPr>
            <w:tcW w:type="dxa" w:w="3760"/>
            <w:shd w:fill="FFFFFF" w:val="clear"/>
          </w:tcPr>
          <w:p>
            <w:pPr>
              <w:jc w:val="center"/>
            </w:pPr>
            <w:r>
              <w:rPr>
                <w:b w:val="false"/>
                <w:bCs w:val="false"/>
                <w:sz w:val="19"/>
                <w:szCs w:val="19"/>
              </w:rPr>
              <w:t xml:space="preserve">Autos y resoluciones SRVR — Macrocaso 003</w:t>
            </w:r>
          </w:p>
        </w:tc>
      </w:tr>
      <w:tr>
        <w:tc>
          <w:tcPr>
            <w:tcW w:type="dxa" w:w="1400"/>
            <w:shd w:fill="F2F2F2" w:val="clear"/>
          </w:tcPr>
          <w:p>
            <w:pPr>
              <w:jc w:val="left"/>
            </w:pPr>
            <w:r>
              <w:rPr>
                <w:b/>
                <w:bCs/>
                <w:sz w:val="19"/>
                <w:szCs w:val="19"/>
              </w:rPr>
              <w:t xml:space="preserve">C-JEP oral</w:t>
            </w:r>
          </w:p>
        </w:tc>
        <w:tc>
          <w:tcPr>
            <w:tcW w:type="dxa" w:w="1000"/>
            <w:shd w:fill="F2F2F2" w:val="clear"/>
          </w:tcPr>
          <w:p>
            <w:pPr>
              <w:jc w:val="center"/>
            </w:pPr>
            <w:r>
              <w:rPr>
                <w:b w:val="false"/>
                <w:bCs w:val="false"/>
                <w:sz w:val="19"/>
                <w:szCs w:val="19"/>
              </w:rPr>
              <w:t xml:space="preserve">5</w:t>
            </w:r>
          </w:p>
        </w:tc>
        <w:tc>
          <w:tcPr>
            <w:tcW w:type="dxa" w:w="1400"/>
            <w:shd w:fill="F2F2F2" w:val="clear"/>
          </w:tcPr>
          <w:p>
            <w:pPr>
              <w:jc w:val="center"/>
            </w:pPr>
            <w:r>
              <w:rPr>
                <w:b w:val="false"/>
                <w:bCs w:val="false"/>
                <w:sz w:val="19"/>
                <w:szCs w:val="19"/>
              </w:rPr>
              <w:t xml:space="preserve">588</w:t>
            </w:r>
          </w:p>
        </w:tc>
        <w:tc>
          <w:tcPr>
            <w:tcW w:type="dxa" w:w="1800"/>
            <w:shd w:fill="F2F2F2" w:val="clear"/>
          </w:tcPr>
          <w:p>
            <w:pPr>
              <w:jc w:val="center"/>
            </w:pPr>
            <w:r>
              <w:rPr>
                <w:b w:val="false"/>
                <w:bCs w:val="false"/>
                <w:sz w:val="19"/>
                <w:szCs w:val="19"/>
              </w:rPr>
              <w:t xml:space="preserve">2022–2024</w:t>
            </w:r>
          </w:p>
        </w:tc>
        <w:tc>
          <w:tcPr>
            <w:tcW w:type="dxa" w:w="3760"/>
            <w:shd w:fill="F2F2F2" w:val="clear"/>
          </w:tcPr>
          <w:p>
            <w:pPr>
              <w:jc w:val="center"/>
            </w:pPr>
            <w:r>
              <w:rPr>
                <w:b w:val="false"/>
                <w:bCs w:val="false"/>
                <w:sz w:val="19"/>
                <w:szCs w:val="19"/>
              </w:rPr>
              <w:t xml:space="preserve">Audiencias JEP — 38.1h │ 1.17M chars</w:t>
            </w:r>
          </w:p>
        </w:tc>
      </w:tr>
      <w:tr>
        <w:tc>
          <w:tcPr>
            <w:tcW w:type="dxa" w:w="1400"/>
            <w:shd w:fill="FFFFFF" w:val="clear"/>
          </w:tcPr>
          <w:p>
            <w:pPr>
              <w:jc w:val="left"/>
            </w:pPr>
            <w:r>
              <w:rPr>
                <w:b/>
                <w:bCs/>
                <w:sz w:val="19"/>
                <w:szCs w:val="19"/>
              </w:rPr>
              <w:t xml:space="preserve">TOTAL</w:t>
            </w:r>
          </w:p>
        </w:tc>
        <w:tc>
          <w:tcPr>
            <w:tcW w:type="dxa" w:w="1000"/>
            <w:shd w:fill="FFFFFF" w:val="clear"/>
          </w:tcPr>
          <w:p>
            <w:pPr>
              <w:jc w:val="center"/>
            </w:pPr>
            <w:r>
              <w:rPr>
                <w:b w:val="false"/>
                <w:bCs w:val="false"/>
                <w:sz w:val="19"/>
                <w:szCs w:val="19"/>
              </w:rPr>
              <w:t xml:space="preserve">300+</w:t>
            </w:r>
          </w:p>
        </w:tc>
        <w:tc>
          <w:tcPr>
            <w:tcW w:type="dxa" w:w="1400"/>
            <w:shd w:fill="FFFFFF" w:val="clear"/>
          </w:tcPr>
          <w:p>
            <w:pPr>
              <w:jc w:val="center"/>
            </w:pPr>
            <w:r>
              <w:rPr>
                <w:b w:val="false"/>
                <w:bCs w:val="false"/>
                <w:sz w:val="19"/>
                <w:szCs w:val="19"/>
              </w:rPr>
              <w:t xml:space="preserve">—</w:t>
            </w:r>
          </w:p>
        </w:tc>
        <w:tc>
          <w:tcPr>
            <w:tcW w:type="dxa" w:w="1800"/>
            <w:shd w:fill="FFFFFF" w:val="clear"/>
          </w:tcPr>
          <w:p>
            <w:pPr>
              <w:jc w:val="center"/>
            </w:pPr>
            <w:r>
              <w:rPr>
                <w:b w:val="false"/>
                <w:bCs w:val="false"/>
                <w:sz w:val="19"/>
                <w:szCs w:val="19"/>
              </w:rPr>
              <w:t xml:space="preserve">1994–2024</w:t>
            </w:r>
          </w:p>
        </w:tc>
        <w:tc>
          <w:tcPr>
            <w:tcW w:type="dxa" w:w="3760"/>
            <w:shd w:fill="FFFFFF" w:val="clear"/>
          </w:tcPr>
          <w:p>
            <w:pPr>
              <w:jc w:val="center"/>
            </w:pPr>
            <w:r>
              <w:rPr>
                <w:b w:val="false"/>
                <w:bCs w:val="false"/>
                <w:sz w:val="19"/>
                <w:szCs w:val="19"/>
              </w:rPr>
              <w:t xml:space="preserve">A + B escrito + C oral</w:t>
            </w:r>
          </w:p>
        </w:tc>
      </w:tr>
    </w:tbl>
    <w:p>
      <w:pPr>
        <w:spacing w:after="120" w:line="276"/>
        <w:jc w:val="both"/>
      </w:pPr>
      <w:r>
        <w:rPr>
          <w:sz w:val="22"/>
          <w:szCs w:val="22"/>
        </w:rPr>
        <w:t xml:space="preserve">El Corpus B fue reconstruido a partir de la segmentación temática de sus 14 documentos únicos, produciendo 80 secciones válidas (RECONOCIMIENTO 14, HECHOS_Y_CONDUCTAS 14, CALIFICACIÓN_JURÍDICA 13, PATRONES_MACROCRIMINALES 11, SANCIONES_PROPIAS 11, CONSIDERACIONES 8, RESUELVE 6, CUERPO 3). Esta base sustituye a la versión preliminar y constituye el Corpus B canónico sobre el que se calculan todos los indicadores de este capítulo.</w:t>
      </w:r>
    </w:p>
    <w:p>
      <w:pPr>
        <w:pStyle w:val="Heading2"/>
        <w:spacing w:after="100" w:before="200"/>
      </w:pPr>
      <w:r>
        <w:rPr>
          <w:b/>
          <w:bCs/>
          <w:color w:val="1F3864"/>
          <w:sz w:val="26"/>
          <w:szCs w:val="26"/>
        </w:rPr>
        <w:t xml:space="preserve">5.2 Capa 1 — Indicadores léxicos</w:t>
      </w:r>
    </w:p>
    <w:p>
      <w:pPr>
        <w:pStyle w:val="Heading3"/>
        <w:spacing w:after="80" w:before="160"/>
      </w:pPr>
      <w:r>
        <w:rPr>
          <w:b/>
          <w:bCs/>
          <w:color w:val="1F3864"/>
          <w:sz w:val="23"/>
          <w:szCs w:val="23"/>
        </w:rPr>
        <w:t xml:space="preserve">5.2.1 Accountability y persona gramatical</w:t>
      </w:r>
    </w:p>
    <w:p>
      <w:pPr>
        <w:spacing w:after="120" w:line="276"/>
        <w:jc w:val="both"/>
      </w:pPr>
      <w:r>
        <w:rPr>
          <w:sz w:val="22"/>
          <w:szCs w:val="22"/>
        </w:rPr>
        <w:t xml:space="preserve">El accountability_score —ratio de construcciones de primera persona activa frente a pasivas/impersonales— es significativamente mayor en el Corpus B (B=0.946, A=0.907). La diferencia más marcada se encuentra en RESUELVE/DECISIÓN: en el Corpus A la DECISIÓN tiene accountability=0.864, mientras que en el Corpus B el RESUELVE alcanza 0.942. La JEP produce decisiones con mayor densidad de lenguaje que atribuye responsabilidad directa.</w:t>
      </w:r>
    </w:p>
    <w:p>
      <w:pPr>
        <w:pStyle w:val="Heading3"/>
        <w:spacing w:after="80" w:before="160"/>
      </w:pPr>
      <w:r>
        <w:rPr>
          <w:b/>
          <w:bCs/>
          <w:color w:val="1F3864"/>
          <w:sz w:val="23"/>
          <w:szCs w:val="23"/>
        </w:rPr>
        <w:t xml:space="preserve">5.2.2 Hedging — evasión epistémica</w:t>
      </w:r>
    </w:p>
    <w:p>
      <w:pPr>
        <w:spacing w:after="120" w:line="276"/>
        <w:jc w:val="both"/>
      </w:pPr>
      <w:r>
        <w:rPr>
          <w:sz w:val="22"/>
          <w:szCs w:val="22"/>
        </w:rPr>
        <w:t xml:space="preserve">El hedging_density —marcadores de evasión epistémica por 100 palabras— es A=0.061 vs B=0.054. Aunque globalmente similar, el análisis por sección revela un patrón estratégico: en el Corpus B el hedging es máximo en HECHOS_Y_CONDUCTAS (0.132) y mínimo en RECONOCIMIENTO (0.082). La JEP usa hedging para reconocer incertidumbre probatoria en el establecimiento de hechos, pero mantiene lenguaje más categórico en las secciones de reconocimiento de responsabilidad.</w:t>
      </w:r>
    </w:p>
    <w:p>
      <w:pPr>
        <w:pStyle w:val="Heading3"/>
        <w:spacing w:after="80" w:before="160"/>
      </w:pPr>
      <w:r>
        <w:rPr>
          <w:b/>
          <w:bCs/>
          <w:color w:val="1F3864"/>
          <w:sz w:val="23"/>
          <w:szCs w:val="23"/>
        </w:rPr>
        <w:t xml:space="preserve">5.2.3 Léxico emocional</w:t>
      </w:r>
    </w:p>
    <w:p>
      <w:pPr>
        <w:spacing w:after="60" w:before="60"/>
      </w:pPr>
      <w:r>
        <w:rPr>
          <w:i/>
          <w:iCs/>
          <w:color w:val="595959"/>
          <w:sz w:val="19"/>
          <w:szCs w:val="19"/>
        </w:rPr>
        <w:t xml:space="preserve">Tabla 5.2. Léxico emocional Corpus A vs B — 6 dimensiones. Lexicón NRC adaptado al español judicial.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1900"/>
        <w:gridCol w:w="1900"/>
        <w:gridCol w:w="2000"/>
      </w:tblGrid>
      <w:tr>
        <w:trPr>
          <w:tblHeader/>
        </w:trPr>
        <w:tc>
          <w:tcPr>
            <w:tcW w:type="dxa" w:w="3560"/>
            <w:shd w:fill="1F3864" w:val="clear"/>
          </w:tcPr>
          <w:p>
            <w:pPr>
              <w:jc w:val="center"/>
            </w:pPr>
            <w:r>
              <w:rPr>
                <w:b/>
                <w:bCs/>
                <w:color w:val="FFFFFF"/>
                <w:sz w:val="19"/>
                <w:szCs w:val="19"/>
              </w:rPr>
              <w:t xml:space="preserve">Dimensión emocional</w:t>
            </w:r>
          </w:p>
        </w:tc>
        <w:tc>
          <w:tcPr>
            <w:tcW w:type="dxa" w:w="1900"/>
            <w:shd w:fill="1F3864" w:val="clear"/>
          </w:tcPr>
          <w:p>
            <w:pPr>
              <w:jc w:val="center"/>
            </w:pPr>
            <w:r>
              <w:rPr>
                <w:b/>
                <w:bCs/>
                <w:color w:val="FFFFFF"/>
                <w:sz w:val="19"/>
                <w:szCs w:val="19"/>
              </w:rPr>
              <w:t xml:space="preserve">Corpus A</w:t>
            </w:r>
          </w:p>
        </w:tc>
        <w:tc>
          <w:tcPr>
            <w:tcW w:type="dxa" w:w="1900"/>
            <w:shd w:fill="1F3864" w:val="clear"/>
          </w:tcPr>
          <w:p>
            <w:pPr>
              <w:jc w:val="center"/>
            </w:pPr>
            <w:r>
              <w:rPr>
                <w:b/>
                <w:bCs/>
                <w:color w:val="FFFFFF"/>
                <w:sz w:val="19"/>
                <w:szCs w:val="19"/>
              </w:rPr>
              <w:t xml:space="preserve">Corpus B</w:t>
            </w:r>
          </w:p>
        </w:tc>
        <w:tc>
          <w:tcPr>
            <w:tcW w:type="dxa" w:w="2000"/>
            <w:shd w:fill="1F3864" w:val="clear"/>
          </w:tcPr>
          <w:p>
            <w:pPr>
              <w:jc w:val="center"/>
            </w:pPr>
            <w:r>
              <w:rPr>
                <w:b/>
                <w:bCs/>
                <w:color w:val="FFFFFF"/>
                <w:sz w:val="19"/>
                <w:szCs w:val="19"/>
              </w:rPr>
              <w:t xml:space="preserve">Dirección</w:t>
            </w:r>
          </w:p>
        </w:tc>
      </w:tr>
      <w:tr>
        <w:tc>
          <w:tcPr>
            <w:tcW w:type="dxa" w:w="3560"/>
            <w:shd w:fill="FFFFFF" w:val="clear"/>
          </w:tcPr>
          <w:p>
            <w:pPr>
              <w:jc w:val="left"/>
            </w:pPr>
            <w:r>
              <w:rPr>
                <w:b/>
                <w:bCs/>
                <w:sz w:val="19"/>
                <w:szCs w:val="19"/>
              </w:rPr>
              <w:t xml:space="preserve">Culpa / responsabilidad</w:t>
            </w:r>
          </w:p>
        </w:tc>
        <w:tc>
          <w:tcPr>
            <w:tcW w:type="dxa" w:w="1900"/>
            <w:shd w:fill="FFFFFF" w:val="clear"/>
          </w:tcPr>
          <w:p>
            <w:pPr>
              <w:jc w:val="center"/>
            </w:pPr>
            <w:r>
              <w:rPr>
                <w:b w:val="false"/>
                <w:bCs w:val="false"/>
                <w:sz w:val="19"/>
                <w:szCs w:val="19"/>
              </w:rPr>
              <w:t xml:space="preserve">0.251</w:t>
            </w:r>
          </w:p>
        </w:tc>
        <w:tc>
          <w:tcPr>
            <w:tcW w:type="dxa" w:w="1900"/>
            <w:shd w:fill="FFFFFF" w:val="clear"/>
          </w:tcPr>
          <w:p>
            <w:pPr>
              <w:jc w:val="center"/>
            </w:pPr>
            <w:r>
              <w:rPr>
                <w:b w:val="false"/>
                <w:bCs w:val="false"/>
                <w:sz w:val="19"/>
                <w:szCs w:val="19"/>
              </w:rPr>
              <w:t xml:space="preserve">0.275</w:t>
            </w:r>
          </w:p>
        </w:tc>
        <w:tc>
          <w:tcPr>
            <w:tcW w:type="dxa" w:w="2000"/>
            <w:shd w:fill="FFFFFF" w:val="clear"/>
          </w:tcPr>
          <w:p>
            <w:pPr>
              <w:jc w:val="center"/>
            </w:pPr>
            <w:r>
              <w:rPr>
                <w:b w:val="false"/>
                <w:bCs w:val="false"/>
                <w:sz w:val="19"/>
                <w:szCs w:val="19"/>
              </w:rPr>
              <w:t xml:space="preserve">B &gt; A ✓</w:t>
            </w:r>
          </w:p>
        </w:tc>
      </w:tr>
      <w:tr>
        <w:tc>
          <w:tcPr>
            <w:tcW w:type="dxa" w:w="3560"/>
            <w:shd w:fill="F2F2F2" w:val="clear"/>
          </w:tcPr>
          <w:p>
            <w:pPr>
              <w:jc w:val="left"/>
            </w:pPr>
            <w:r>
              <w:rPr>
                <w:b/>
                <w:bCs/>
                <w:sz w:val="19"/>
                <w:szCs w:val="19"/>
              </w:rPr>
              <w:t xml:space="preserve">Tristeza / sufrimiento</w:t>
            </w:r>
          </w:p>
        </w:tc>
        <w:tc>
          <w:tcPr>
            <w:tcW w:type="dxa" w:w="1900"/>
            <w:shd w:fill="F2F2F2" w:val="clear"/>
          </w:tcPr>
          <w:p>
            <w:pPr>
              <w:jc w:val="center"/>
            </w:pPr>
            <w:r>
              <w:rPr>
                <w:b w:val="false"/>
                <w:bCs w:val="false"/>
                <w:sz w:val="19"/>
                <w:szCs w:val="19"/>
              </w:rPr>
              <w:t xml:space="preserve">0.455</w:t>
            </w:r>
          </w:p>
        </w:tc>
        <w:tc>
          <w:tcPr>
            <w:tcW w:type="dxa" w:w="1900"/>
            <w:shd w:fill="F2F2F2" w:val="clear"/>
          </w:tcPr>
          <w:p>
            <w:pPr>
              <w:jc w:val="center"/>
            </w:pPr>
            <w:r>
              <w:rPr>
                <w:b w:val="false"/>
                <w:bCs w:val="false"/>
                <w:sz w:val="19"/>
                <w:szCs w:val="19"/>
              </w:rPr>
              <w:t xml:space="preserve">0.315</w:t>
            </w:r>
          </w:p>
        </w:tc>
        <w:tc>
          <w:tcPr>
            <w:tcW w:type="dxa" w:w="2000"/>
            <w:shd w:fill="F2F2F2" w:val="clear"/>
          </w:tcPr>
          <w:p>
            <w:pPr>
              <w:jc w:val="center"/>
            </w:pPr>
            <w:r>
              <w:rPr>
                <w:b w:val="false"/>
                <w:bCs w:val="false"/>
                <w:sz w:val="19"/>
                <w:szCs w:val="19"/>
              </w:rPr>
              <w:t xml:space="preserve">A &gt; B</w:t>
            </w:r>
          </w:p>
        </w:tc>
      </w:tr>
      <w:tr>
        <w:tc>
          <w:tcPr>
            <w:tcW w:type="dxa" w:w="3560"/>
            <w:shd w:fill="FFFFFF" w:val="clear"/>
          </w:tcPr>
          <w:p>
            <w:pPr>
              <w:jc w:val="left"/>
            </w:pPr>
            <w:r>
              <w:rPr>
                <w:b/>
                <w:bCs/>
                <w:sz w:val="19"/>
                <w:szCs w:val="19"/>
              </w:rPr>
              <w:t xml:space="preserve">Ira / confrontación</w:t>
            </w:r>
          </w:p>
        </w:tc>
        <w:tc>
          <w:tcPr>
            <w:tcW w:type="dxa" w:w="1900"/>
            <w:shd w:fill="FFFFFF" w:val="clear"/>
          </w:tcPr>
          <w:p>
            <w:pPr>
              <w:jc w:val="center"/>
            </w:pPr>
            <w:r>
              <w:rPr>
                <w:b w:val="false"/>
                <w:bCs w:val="false"/>
                <w:sz w:val="19"/>
                <w:szCs w:val="19"/>
              </w:rPr>
              <w:t xml:space="preserve">0.122</w:t>
            </w:r>
          </w:p>
        </w:tc>
        <w:tc>
          <w:tcPr>
            <w:tcW w:type="dxa" w:w="1900"/>
            <w:shd w:fill="FFFFFF" w:val="clear"/>
          </w:tcPr>
          <w:p>
            <w:pPr>
              <w:jc w:val="center"/>
            </w:pPr>
            <w:r>
              <w:rPr>
                <w:b w:val="false"/>
                <w:bCs w:val="false"/>
                <w:sz w:val="19"/>
                <w:szCs w:val="19"/>
              </w:rPr>
              <w:t xml:space="preserve">0.018</w:t>
            </w:r>
          </w:p>
        </w:tc>
        <w:tc>
          <w:tcPr>
            <w:tcW w:type="dxa" w:w="2000"/>
            <w:shd w:fill="FFFFFF" w:val="clear"/>
          </w:tcPr>
          <w:p>
            <w:pPr>
              <w:jc w:val="center"/>
            </w:pPr>
            <w:r>
              <w:rPr>
                <w:b w:val="false"/>
                <w:bCs w:val="false"/>
                <w:sz w:val="19"/>
                <w:szCs w:val="19"/>
              </w:rPr>
              <w:t xml:space="preserve">A &gt;&gt; B ✓</w:t>
            </w:r>
          </w:p>
        </w:tc>
      </w:tr>
      <w:tr>
        <w:tc>
          <w:tcPr>
            <w:tcW w:type="dxa" w:w="3560"/>
            <w:shd w:fill="F2F2F2" w:val="clear"/>
          </w:tcPr>
          <w:p>
            <w:pPr>
              <w:jc w:val="left"/>
            </w:pPr>
            <w:r>
              <w:rPr>
                <w:b/>
                <w:bCs/>
                <w:sz w:val="19"/>
                <w:szCs w:val="19"/>
              </w:rPr>
              <w:t xml:space="preserve">Confianza / derecho / garantía</w:t>
            </w:r>
          </w:p>
        </w:tc>
        <w:tc>
          <w:tcPr>
            <w:tcW w:type="dxa" w:w="1900"/>
            <w:shd w:fill="F2F2F2" w:val="clear"/>
          </w:tcPr>
          <w:p>
            <w:pPr>
              <w:jc w:val="center"/>
            </w:pPr>
            <w:r>
              <w:rPr>
                <w:b w:val="false"/>
                <w:bCs w:val="false"/>
                <w:sz w:val="19"/>
                <w:szCs w:val="19"/>
              </w:rPr>
              <w:t xml:space="preserve">1.887</w:t>
            </w:r>
          </w:p>
        </w:tc>
        <w:tc>
          <w:tcPr>
            <w:tcW w:type="dxa" w:w="1900"/>
            <w:shd w:fill="F2F2F2" w:val="clear"/>
          </w:tcPr>
          <w:p>
            <w:pPr>
              <w:jc w:val="center"/>
            </w:pPr>
            <w:r>
              <w:rPr>
                <w:b w:val="false"/>
                <w:bCs w:val="false"/>
                <w:sz w:val="19"/>
                <w:szCs w:val="19"/>
              </w:rPr>
              <w:t xml:space="preserve">1.121</w:t>
            </w:r>
          </w:p>
        </w:tc>
        <w:tc>
          <w:tcPr>
            <w:tcW w:type="dxa" w:w="2000"/>
            <w:shd w:fill="F2F2F2" w:val="clear"/>
          </w:tcPr>
          <w:p>
            <w:pPr>
              <w:jc w:val="center"/>
            </w:pPr>
            <w:r>
              <w:rPr>
                <w:b w:val="false"/>
                <w:bCs w:val="false"/>
                <w:sz w:val="19"/>
                <w:szCs w:val="19"/>
              </w:rPr>
              <w:t xml:space="preserve">A &gt; B</w:t>
            </w:r>
          </w:p>
        </w:tc>
      </w:tr>
      <w:tr>
        <w:tc>
          <w:tcPr>
            <w:tcW w:type="dxa" w:w="3560"/>
            <w:shd w:fill="FFFFFF" w:val="clear"/>
          </w:tcPr>
          <w:p>
            <w:pPr>
              <w:jc w:val="left"/>
            </w:pPr>
            <w:r>
              <w:rPr>
                <w:b/>
                <w:bCs/>
                <w:sz w:val="19"/>
                <w:szCs w:val="19"/>
              </w:rPr>
              <w:t xml:space="preserve">Violencia institucional (eufem.)</w:t>
            </w:r>
          </w:p>
        </w:tc>
        <w:tc>
          <w:tcPr>
            <w:tcW w:type="dxa" w:w="1900"/>
            <w:shd w:fill="FFFFFF" w:val="clear"/>
          </w:tcPr>
          <w:p>
            <w:pPr>
              <w:jc w:val="center"/>
            </w:pPr>
            <w:r>
              <w:rPr>
                <w:b w:val="false"/>
                <w:bCs w:val="false"/>
                <w:sz w:val="19"/>
                <w:szCs w:val="19"/>
              </w:rPr>
              <w:t xml:space="preserve">0.098</w:t>
            </w:r>
          </w:p>
        </w:tc>
        <w:tc>
          <w:tcPr>
            <w:tcW w:type="dxa" w:w="1900"/>
            <w:shd w:fill="FFFFFF" w:val="clear"/>
          </w:tcPr>
          <w:p>
            <w:pPr>
              <w:jc w:val="center"/>
            </w:pPr>
            <w:r>
              <w:rPr>
                <w:b w:val="false"/>
                <w:bCs w:val="false"/>
                <w:sz w:val="19"/>
                <w:szCs w:val="19"/>
              </w:rPr>
              <w:t xml:space="preserve">0.071</w:t>
            </w:r>
          </w:p>
        </w:tc>
        <w:tc>
          <w:tcPr>
            <w:tcW w:type="dxa" w:w="2000"/>
            <w:shd w:fill="FFFFFF" w:val="clear"/>
          </w:tcPr>
          <w:p>
            <w:pPr>
              <w:jc w:val="center"/>
            </w:pPr>
            <w:r>
              <w:rPr>
                <w:b w:val="false"/>
                <w:bCs w:val="false"/>
                <w:sz w:val="19"/>
                <w:szCs w:val="19"/>
              </w:rPr>
              <w:t xml:space="preserve">A &gt; B ✓</w:t>
            </w:r>
          </w:p>
        </w:tc>
      </w:tr>
      <w:tr>
        <w:tc>
          <w:tcPr>
            <w:tcW w:type="dxa" w:w="3560"/>
            <w:shd w:fill="F2F2F2" w:val="clear"/>
          </w:tcPr>
          <w:p>
            <w:pPr>
              <w:jc w:val="left"/>
            </w:pPr>
            <w:r>
              <w:rPr>
                <w:b/>
                <w:bCs/>
                <w:sz w:val="19"/>
                <w:szCs w:val="19"/>
              </w:rPr>
              <w:t xml:space="preserve">Balance víctimas (compuesto)</w:t>
            </w:r>
          </w:p>
        </w:tc>
        <w:tc>
          <w:tcPr>
            <w:tcW w:type="dxa" w:w="1900"/>
            <w:shd w:fill="F2F2F2" w:val="clear"/>
          </w:tcPr>
          <w:p>
            <w:pPr>
              <w:jc w:val="center"/>
            </w:pPr>
            <w:r>
              <w:rPr>
                <w:b w:val="false"/>
                <w:bCs w:val="false"/>
                <w:sz w:val="19"/>
                <w:szCs w:val="19"/>
              </w:rPr>
              <w:t xml:space="preserve">0.569</w:t>
            </w:r>
          </w:p>
        </w:tc>
        <w:tc>
          <w:tcPr>
            <w:tcW w:type="dxa" w:w="1900"/>
            <w:shd w:fill="F2F2F2" w:val="clear"/>
          </w:tcPr>
          <w:p>
            <w:pPr>
              <w:jc w:val="center"/>
            </w:pPr>
            <w:r>
              <w:rPr>
                <w:b w:val="false"/>
                <w:bCs w:val="false"/>
                <w:sz w:val="19"/>
                <w:szCs w:val="19"/>
              </w:rPr>
              <w:t xml:space="preserve">0.656</w:t>
            </w:r>
          </w:p>
        </w:tc>
        <w:tc>
          <w:tcPr>
            <w:tcW w:type="dxa" w:w="2000"/>
            <w:shd w:fill="F2F2F2" w:val="clear"/>
          </w:tcPr>
          <w:p>
            <w:pPr>
              <w:jc w:val="center"/>
            </w:pPr>
            <w:r>
              <w:rPr>
                <w:b w:val="false"/>
                <w:bCs w:val="false"/>
                <w:sz w:val="19"/>
                <w:szCs w:val="19"/>
              </w:rPr>
              <w:t xml:space="preserve">B &gt; A ✓✓</w:t>
            </w:r>
          </w:p>
        </w:tc>
      </w:tr>
    </w:tbl>
    <w:p>
      <w:pPr>
        <w:spacing w:after="120" w:line="276"/>
        <w:jc w:val="both"/>
      </w:pPr>
      <w:r>
        <w:rPr>
          <w:sz w:val="22"/>
          <w:szCs w:val="22"/>
        </w:rPr>
        <w:t xml:space="preserve">El balance_victimas (B=0.656 vs A=0.569) es el hallazgo más relevante del léxico emocional: el Corpus B está significativamente más orientado al lenguaje de las víctimas que al de la violencia institucional. La diferencia más marcada es en ira (A=0.122 vs B=0.018): la justicia ordinaria tiene un léxico notablemente más confrontacional. El léxico de culpa es el único donde B supera a A (0.275 vs 0.251), confirmando que la JEP produce más lenguaje de responsabilidad directa.</w:t>
      </w:r>
    </w:p>
    <w:p>
      <w:pPr>
        <w:pStyle w:val="Heading3"/>
        <w:spacing w:after="80" w:before="160"/>
      </w:pPr>
      <w:r>
        <w:rPr>
          <w:b/>
          <w:bCs/>
          <w:color w:val="1F3864"/>
          <w:sz w:val="23"/>
          <w:szCs w:val="23"/>
        </w:rPr>
        <w:t xml:space="preserve">5.2.4 EBI (y₁), SA (y₂) y NV (y₄)</w:t>
      </w:r>
    </w:p>
    <w:p>
      <w:pPr>
        <w:spacing w:after="120" w:line="276"/>
        <w:jc w:val="both"/>
      </w:pPr>
      <w:r>
        <w:rPr>
          <w:b/>
          <w:bCs/>
          <w:sz w:val="22"/>
          <w:szCs w:val="22"/>
        </w:rPr>
        <w:t xml:space="preserve">Eufemismo Bélico-Institucional (y₁). </w:t>
      </w:r>
      <w:r>
        <w:rPr>
          <w:sz w:val="22"/>
          <w:szCs w:val="22"/>
        </w:rPr>
        <w:t xml:space="preserve">El indicador EBI, recuperado mediante el gazetteer de eufemismos bélico-institucionales, revela un patrón contraintuitivo: el Corpus B (JEP) presenta mayor densidad de EBI que el Corpus A (justicia ordinaria) (B=0.451 vs A=0.186, p&lt;0.001, d=−0.41). El análisis por sección esclarece este resultado: en el Corpus B el EBI se concentra en las secciones descriptivas y de razonamiento jurídico (media=0.526) frente a las secciones performativas de reconocimiento y sanción (media=0.332), siendo máximo en CONSIDERACIONES (1.106) y HECHOS_Y_CONDUCTAS (0.639) y mínimo en SANCIONES_PROPIAS (0.143). Este patrón es consistente con un uso metalingüístico citativo: la JEP reproduce el vocabulario militar-institucional al describir y analizar los hechos —citando el lenguaje oficial de los informes originales— para nombrarlos y refutarlos, no para avalarlos. El fenómeno es análogo al metalenguaje citativo documentado en la Negación de Victimización, donde el vocabulario de la deshumanización aparece en los documentos transicionales en función de cita crítica.</w:t>
      </w:r>
    </w:p>
    <w:p>
      <w:pPr>
        <w:spacing w:after="120" w:line="276"/>
        <w:jc w:val="both"/>
      </w:pPr>
      <w:r>
        <w:rPr>
          <w:b/>
          <w:bCs/>
          <w:sz w:val="22"/>
          <w:szCs w:val="22"/>
        </w:rPr>
        <w:t xml:space="preserve">Supresión de Agentividad y Negación de Victimización. </w:t>
      </w:r>
      <w:r>
        <w:rPr>
          <w:sz w:val="22"/>
          <w:szCs w:val="22"/>
        </w:rPr>
        <w:t xml:space="preserve">El SA Score no difiere significativamente entre los dos sistemas (A=0.885, B=0.873, p=0.944 n.s.): es transversal al lenguaje jurídico-institucional colombiano. El NV Score es prácticamente equivalente entre corpus (A=0.239, B=0.236, p=0.024, d=0.009): su significancia estadística es un artefacto del gran tamaño del Corpus A, pero el tamaño de efecto es trivial. Esta coexistencia de NV con el reconocimiento no es paradójica sino estructural: el Corpus B cita el vocabulario NV original para refutarlo mediante metalenguaje citativo, en línea con el patrón observado en el EBI.</w:t>
      </w:r>
    </w:p>
    <w:p>
      <w:pPr>
        <w:pStyle w:val="Heading2"/>
        <w:spacing w:after="100" w:before="200"/>
      </w:pPr>
      <w:r>
        <w:rPr>
          <w:b/>
          <w:bCs/>
          <w:color w:val="1F3864"/>
          <w:sz w:val="26"/>
          <w:szCs w:val="26"/>
        </w:rPr>
        <w:t xml:space="preserve">5.3 Capa 2 — REP Score (y₁₀)</w:t>
      </w:r>
    </w:p>
    <w:p>
      <w:pPr>
        <w:spacing w:after="120" w:line="276"/>
        <w:jc w:val="both"/>
      </w:pPr>
      <w:r>
        <w:rPr>
          <w:sz w:val="22"/>
          <w:szCs w:val="22"/>
        </w:rPr>
        <w:t xml:space="preserve">El REP Score del Corpus B (media=0.282) es significativamente mayor que el del Corpus A (media=0.133), con una brecha de +0.149, p&lt;0.001 (***) y un tamaño de efecto d=0.61, el más sustantivo de todos los indicadores léxicos. La sección RECONOCIMIENTO del Corpus B presenta el REP más alto, mientras que PATRONES_MACROCRIMINALES tiende a REP mínimo —usa lenguaje analítico-descriptivo, no performativo. La Ruptura Epistémica Positiva es, por tanto, el marcador léxico que con mayor fuerza distingue la justicia transicional de la ordinaria.</w:t>
      </w:r>
    </w:p>
    <w:p>
      <w:pPr>
        <w:pStyle w:val="Heading2"/>
        <w:spacing w:after="100" w:before="200"/>
      </w:pPr>
      <w:r>
        <w:rPr>
          <w:b/>
          <w:bCs/>
          <w:color w:val="1F3864"/>
          <w:sz w:val="26"/>
          <w:szCs w:val="26"/>
        </w:rPr>
        <w:t xml:space="preserve">5.4 Capa 2 — Distancias semánticas y₈ y y₉</w:t>
      </w:r>
    </w:p>
    <w:p>
      <w:pPr>
        <w:spacing w:after="60" w:before="60"/>
      </w:pPr>
      <w:r>
        <w:rPr>
          <w:i/>
          <w:iCs/>
          <w:color w:val="595959"/>
          <w:sz w:val="19"/>
          <w:szCs w:val="19"/>
        </w:rPr>
        <w:t xml:space="preserve">Tabla 5.3. Distancias semánticas y₈ (MAFAPO) y y₉ (CIDH) — ConfliBERT-Spanish. Menor distancia = mayor cercanía al lenguaje de referencia. *** p&lt;0.001.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1400"/>
        <w:gridCol w:w="1560"/>
        <w:gridCol w:w="1200"/>
      </w:tblGrid>
      <w:tr>
        <w:trPr>
          <w:tblHeader/>
        </w:trPr>
        <w:tc>
          <w:tcPr>
            <w:tcW w:type="dxa" w:w="2400"/>
            <w:shd w:fill="1F3864" w:val="clear"/>
          </w:tcPr>
          <w:p>
            <w:pPr>
              <w:jc w:val="center"/>
            </w:pPr>
            <w:r>
              <w:rPr>
                <w:b/>
                <w:bCs/>
                <w:color w:val="FFFFFF"/>
                <w:sz w:val="19"/>
                <w:szCs w:val="19"/>
              </w:rPr>
              <w:t xml:space="preserve">Indicador</w:t>
            </w:r>
          </w:p>
        </w:tc>
        <w:tc>
          <w:tcPr>
            <w:tcW w:type="dxa" w:w="1400"/>
            <w:shd w:fill="1F3864" w:val="clear"/>
          </w:tcPr>
          <w:p>
            <w:pPr>
              <w:jc w:val="center"/>
            </w:pPr>
            <w:r>
              <w:rPr>
                <w:b/>
                <w:bCs/>
                <w:color w:val="FFFFFF"/>
                <w:sz w:val="19"/>
                <w:szCs w:val="19"/>
              </w:rPr>
              <w:t xml:space="preserve">Corpus A</w:t>
            </w:r>
          </w:p>
        </w:tc>
        <w:tc>
          <w:tcPr>
            <w:tcW w:type="dxa" w:w="1400"/>
            <w:shd w:fill="1F3864" w:val="clear"/>
          </w:tcPr>
          <w:p>
            <w:pPr>
              <w:jc w:val="center"/>
            </w:pPr>
            <w:r>
              <w:rPr>
                <w:b/>
                <w:bCs/>
                <w:color w:val="FFFFFF"/>
                <w:sz w:val="19"/>
                <w:szCs w:val="19"/>
              </w:rPr>
              <w:t xml:space="preserve">Corpus B</w:t>
            </w:r>
          </w:p>
        </w:tc>
        <w:tc>
          <w:tcPr>
            <w:tcW w:type="dxa" w:w="1400"/>
            <w:shd w:fill="1F3864" w:val="clear"/>
          </w:tcPr>
          <w:p>
            <w:pPr>
              <w:jc w:val="center"/>
            </w:pPr>
            <w:r>
              <w:rPr>
                <w:b/>
                <w:bCs/>
                <w:color w:val="FFFFFF"/>
                <w:sz w:val="19"/>
                <w:szCs w:val="19"/>
              </w:rPr>
              <w:t xml:space="preserve">Corpus C</w:t>
            </w:r>
          </w:p>
        </w:tc>
        <w:tc>
          <w:tcPr>
            <w:tcW w:type="dxa" w:w="1560"/>
            <w:shd w:fill="1F3864" w:val="clear"/>
          </w:tcPr>
          <w:p>
            <w:pPr>
              <w:jc w:val="center"/>
            </w:pPr>
            <w:r>
              <w:rPr>
                <w:b/>
                <w:bCs/>
                <w:color w:val="FFFFFF"/>
                <w:sz w:val="19"/>
                <w:szCs w:val="19"/>
              </w:rPr>
              <w:t xml:space="preserve">p (A vs B)</w:t>
            </w:r>
          </w:p>
        </w:tc>
        <w:tc>
          <w:tcPr>
            <w:tcW w:type="dxa" w:w="1200"/>
            <w:shd w:fill="1F3864" w:val="clear"/>
          </w:tcPr>
          <w:p>
            <w:pPr>
              <w:jc w:val="center"/>
            </w:pPr>
            <w:r>
              <w:rPr>
                <w:b/>
                <w:bCs/>
                <w:color w:val="FFFFFF"/>
                <w:sz w:val="19"/>
                <w:szCs w:val="19"/>
              </w:rPr>
              <w:t xml:space="preserve">Dirección</w:t>
            </w:r>
          </w:p>
        </w:tc>
      </w:tr>
      <w:tr>
        <w:tc>
          <w:tcPr>
            <w:tcW w:type="dxa" w:w="2400"/>
            <w:shd w:fill="FFFFFF" w:val="clear"/>
          </w:tcPr>
          <w:p>
            <w:pPr>
              <w:jc w:val="left"/>
            </w:pPr>
            <w:r>
              <w:rPr>
                <w:b/>
                <w:bCs/>
                <w:sz w:val="19"/>
                <w:szCs w:val="19"/>
              </w:rPr>
              <w:t xml:space="preserve">y₈ Dist. MAFAPO</w:t>
            </w:r>
          </w:p>
        </w:tc>
        <w:tc>
          <w:tcPr>
            <w:tcW w:type="dxa" w:w="1400"/>
            <w:shd w:fill="FFFFFF" w:val="clear"/>
          </w:tcPr>
          <w:p>
            <w:pPr>
              <w:jc w:val="center"/>
            </w:pPr>
            <w:r>
              <w:rPr>
                <w:b w:val="false"/>
                <w:bCs w:val="false"/>
                <w:sz w:val="19"/>
                <w:szCs w:val="19"/>
              </w:rPr>
              <w:t xml:space="preserve">0.211</w:t>
            </w:r>
          </w:p>
        </w:tc>
        <w:tc>
          <w:tcPr>
            <w:tcW w:type="dxa" w:w="1400"/>
            <w:shd w:fill="FFFFFF" w:val="clear"/>
          </w:tcPr>
          <w:p>
            <w:pPr>
              <w:jc w:val="center"/>
            </w:pPr>
            <w:r>
              <w:rPr>
                <w:b w:val="false"/>
                <w:bCs w:val="false"/>
                <w:sz w:val="19"/>
                <w:szCs w:val="19"/>
              </w:rPr>
              <w:t xml:space="preserve">0.155</w:t>
            </w:r>
          </w:p>
        </w:tc>
        <w:tc>
          <w:tcPr>
            <w:tcW w:type="dxa" w:w="1400"/>
            <w:shd w:fill="FFFFFF" w:val="clear"/>
          </w:tcPr>
          <w:p>
            <w:pPr>
              <w:jc w:val="center"/>
            </w:pPr>
            <w:r>
              <w:rPr>
                <w:b w:val="false"/>
                <w:bCs w:val="false"/>
                <w:sz w:val="19"/>
                <w:szCs w:val="19"/>
              </w:rPr>
              <w:t xml:space="preserve">0.129</w:t>
            </w:r>
          </w:p>
        </w:tc>
        <w:tc>
          <w:tcPr>
            <w:tcW w:type="dxa" w:w="1560"/>
            <w:shd w:fill="FFFFFF" w:val="clear"/>
          </w:tcPr>
          <w:p>
            <w:pPr>
              <w:jc w:val="center"/>
            </w:pPr>
            <w:r>
              <w:rPr>
                <w:b w:val="false"/>
                <w:bCs w:val="false"/>
                <w:sz w:val="19"/>
                <w:szCs w:val="19"/>
              </w:rPr>
              <w:t xml:space="preserve">&lt;0.001 ***</w:t>
            </w:r>
          </w:p>
        </w:tc>
        <w:tc>
          <w:tcPr>
            <w:tcW w:type="dxa" w:w="1200"/>
            <w:shd w:fill="FFFFFF" w:val="clear"/>
          </w:tcPr>
          <w:p>
            <w:pPr>
              <w:jc w:val="center"/>
            </w:pPr>
            <w:r>
              <w:rPr>
                <w:b w:val="false"/>
                <w:bCs w:val="false"/>
                <w:sz w:val="19"/>
                <w:szCs w:val="19"/>
              </w:rPr>
              <w:t xml:space="preserve">C &lt; B &lt; A ✓</w:t>
            </w:r>
          </w:p>
        </w:tc>
      </w:tr>
      <w:tr>
        <w:tc>
          <w:tcPr>
            <w:tcW w:type="dxa" w:w="2400"/>
            <w:shd w:fill="F2F2F2" w:val="clear"/>
          </w:tcPr>
          <w:p>
            <w:pPr>
              <w:jc w:val="left"/>
            </w:pPr>
            <w:r>
              <w:rPr>
                <w:b/>
                <w:bCs/>
                <w:sz w:val="19"/>
                <w:szCs w:val="19"/>
              </w:rPr>
              <w:t xml:space="preserve">y₉ Dist. CIDH</w:t>
            </w:r>
          </w:p>
        </w:tc>
        <w:tc>
          <w:tcPr>
            <w:tcW w:type="dxa" w:w="1400"/>
            <w:shd w:fill="F2F2F2" w:val="clear"/>
          </w:tcPr>
          <w:p>
            <w:pPr>
              <w:jc w:val="center"/>
            </w:pPr>
            <w:r>
              <w:rPr>
                <w:b w:val="false"/>
                <w:bCs w:val="false"/>
                <w:sz w:val="19"/>
                <w:szCs w:val="19"/>
              </w:rPr>
              <w:t xml:space="preserve">0.254</w:t>
            </w:r>
          </w:p>
        </w:tc>
        <w:tc>
          <w:tcPr>
            <w:tcW w:type="dxa" w:w="1400"/>
            <w:shd w:fill="F2F2F2" w:val="clear"/>
          </w:tcPr>
          <w:p>
            <w:pPr>
              <w:jc w:val="center"/>
            </w:pPr>
            <w:r>
              <w:rPr>
                <w:b w:val="false"/>
                <w:bCs w:val="false"/>
                <w:sz w:val="19"/>
                <w:szCs w:val="19"/>
              </w:rPr>
              <w:t xml:space="preserve">0.217</w:t>
            </w:r>
          </w:p>
        </w:tc>
        <w:tc>
          <w:tcPr>
            <w:tcW w:type="dxa" w:w="1400"/>
            <w:shd w:fill="F2F2F2" w:val="clear"/>
          </w:tcPr>
          <w:p>
            <w:pPr>
              <w:jc w:val="center"/>
            </w:pPr>
            <w:r>
              <w:rPr>
                <w:b w:val="false"/>
                <w:bCs w:val="false"/>
                <w:sz w:val="19"/>
                <w:szCs w:val="19"/>
              </w:rPr>
              <w:t xml:space="preserve">0.243</w:t>
            </w:r>
          </w:p>
        </w:tc>
        <w:tc>
          <w:tcPr>
            <w:tcW w:type="dxa" w:w="1560"/>
            <w:shd w:fill="F2F2F2" w:val="clear"/>
          </w:tcPr>
          <w:p>
            <w:pPr>
              <w:jc w:val="center"/>
            </w:pPr>
            <w:r>
              <w:rPr>
                <w:b w:val="false"/>
                <w:bCs w:val="false"/>
                <w:sz w:val="19"/>
                <w:szCs w:val="19"/>
              </w:rPr>
              <w:t xml:space="preserve">&lt;0.001 ***</w:t>
            </w:r>
          </w:p>
        </w:tc>
        <w:tc>
          <w:tcPr>
            <w:tcW w:type="dxa" w:w="1200"/>
            <w:shd w:fill="F2F2F2" w:val="clear"/>
          </w:tcPr>
          <w:p>
            <w:pPr>
              <w:jc w:val="center"/>
            </w:pPr>
            <w:r>
              <w:rPr>
                <w:b w:val="false"/>
                <w:bCs w:val="false"/>
                <w:sz w:val="19"/>
                <w:szCs w:val="19"/>
              </w:rPr>
              <w:t xml:space="preserve">B &lt; C &lt; A</w:t>
            </w:r>
          </w:p>
        </w:tc>
      </w:tr>
    </w:tbl>
    <w:p>
      <w:pPr>
        <w:spacing w:after="120" w:line="276"/>
        <w:jc w:val="both"/>
      </w:pPr>
      <w:r>
        <w:rPr>
          <w:sz w:val="22"/>
          <w:szCs w:val="22"/>
        </w:rPr>
        <w:t xml:space="preserve">La distancia MAFAPO (y₈) presenta el tamaño de efecto más grande del capítulo (d=1.39): el Corpus B está mucho más cerca del lenguaje de las víctimas que el Corpus A, y el Corpus C oral (y₈=0.129) aún más. La media del Corpus C es menor que la del Corpus B escrito, lo que indica que el lenguaje oral de las audiencias JEP está, en promedio, todavía más cercano al léxico de las víctimas que el lenguaje escrito formal. Para y₉ CIDH, el Corpus C (0.243) es más distante que el Corpus B (0.217): los comparecientes hablan desde la experiencia vivida, no desde el lenguaje técnico-jurídico del derecho internacional humanitario, lo que es teóricamente coherente con Zehr (2002).</w:t>
      </w:r>
    </w:p>
    <w:p>
      <w:pPr>
        <w:pStyle w:val="Heading2"/>
        <w:spacing w:after="100" w:before="200"/>
      </w:pPr>
      <w:r>
        <w:rPr>
          <w:b/>
          <w:bCs/>
          <w:color w:val="1F3864"/>
          <w:sz w:val="26"/>
          <w:szCs w:val="26"/>
        </w:rPr>
        <w:t xml:space="preserve">5.5 CFH-BERT v2 — clasificador IO con weighted loss</w:t>
      </w:r>
    </w:p>
    <w:p>
      <w:pPr>
        <w:spacing w:after="60" w:before="60"/>
      </w:pPr>
      <w:r>
        <w:rPr>
          <w:i/>
          <w:iCs/>
          <w:color w:val="595959"/>
          <w:sz w:val="19"/>
          <w:szCs w:val="19"/>
        </w:rPr>
        <w:t xml:space="preserve">Tabla 5.4. CFH-BERT v1 vs v2. n=100 anotaciones. Mejora más significativa en NV (+0.28) por weighted loss.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1400"/>
        <w:gridCol w:w="1200"/>
        <w:gridCol w:w="1200"/>
        <w:gridCol w:w="1200"/>
        <w:gridCol w:w="1200"/>
        <w:gridCol w:w="800"/>
      </w:tblGrid>
      <w:tr>
        <w:trPr>
          <w:tblHeader/>
        </w:trPr>
        <w:tc>
          <w:tcPr>
            <w:tcW w:type="dxa" w:w="2360"/>
            <w:shd w:fill="1F3864" w:val="clear"/>
          </w:tcPr>
          <w:p>
            <w:pPr>
              <w:jc w:val="center"/>
            </w:pPr>
            <w:r>
              <w:rPr>
                <w:b/>
                <w:bCs/>
                <w:color w:val="FFFFFF"/>
                <w:sz w:val="19"/>
                <w:szCs w:val="19"/>
              </w:rPr>
              <w:t xml:space="preserve">Versión</w:t>
            </w:r>
          </w:p>
        </w:tc>
        <w:tc>
          <w:tcPr>
            <w:tcW w:type="dxa" w:w="1400"/>
            <w:shd w:fill="1F3864" w:val="clear"/>
          </w:tcPr>
          <w:p>
            <w:pPr>
              <w:jc w:val="center"/>
            </w:pPr>
            <w:r>
              <w:rPr>
                <w:b/>
                <w:bCs/>
                <w:color w:val="FFFFFF"/>
                <w:sz w:val="19"/>
                <w:szCs w:val="19"/>
              </w:rPr>
              <w:t xml:space="preserve">F1 macro</w:t>
            </w:r>
          </w:p>
        </w:tc>
        <w:tc>
          <w:tcPr>
            <w:tcW w:type="dxa" w:w="1200"/>
            <w:shd w:fill="1F3864" w:val="clear"/>
          </w:tcPr>
          <w:p>
            <w:pPr>
              <w:jc w:val="center"/>
            </w:pPr>
            <w:r>
              <w:rPr>
                <w:b/>
                <w:bCs/>
                <w:color w:val="FFFFFF"/>
                <w:sz w:val="19"/>
                <w:szCs w:val="19"/>
              </w:rPr>
              <w:t xml:space="preserve">F1 REP</w:t>
            </w:r>
          </w:p>
        </w:tc>
        <w:tc>
          <w:tcPr>
            <w:tcW w:type="dxa" w:w="1200"/>
            <w:shd w:fill="1F3864" w:val="clear"/>
          </w:tcPr>
          <w:p>
            <w:pPr>
              <w:jc w:val="center"/>
            </w:pPr>
            <w:r>
              <w:rPr>
                <w:b/>
                <w:bCs/>
                <w:color w:val="FFFFFF"/>
                <w:sz w:val="19"/>
                <w:szCs w:val="19"/>
              </w:rPr>
              <w:t xml:space="preserve">F1 EBI</w:t>
            </w:r>
          </w:p>
        </w:tc>
        <w:tc>
          <w:tcPr>
            <w:tcW w:type="dxa" w:w="1200"/>
            <w:shd w:fill="1F3864" w:val="clear"/>
          </w:tcPr>
          <w:p>
            <w:pPr>
              <w:jc w:val="center"/>
            </w:pPr>
            <w:r>
              <w:rPr>
                <w:b/>
                <w:bCs/>
                <w:color w:val="FFFFFF"/>
                <w:sz w:val="19"/>
                <w:szCs w:val="19"/>
              </w:rPr>
              <w:t xml:space="preserve">F1 SA</w:t>
            </w:r>
          </w:p>
        </w:tc>
        <w:tc>
          <w:tcPr>
            <w:tcW w:type="dxa" w:w="1200"/>
            <w:shd w:fill="1F3864" w:val="clear"/>
          </w:tcPr>
          <w:p>
            <w:pPr>
              <w:jc w:val="center"/>
            </w:pPr>
            <w:r>
              <w:rPr>
                <w:b/>
                <w:bCs/>
                <w:color w:val="FFFFFF"/>
                <w:sz w:val="19"/>
                <w:szCs w:val="19"/>
              </w:rPr>
              <w:t xml:space="preserve">F1 NV</w:t>
            </w:r>
          </w:p>
        </w:tc>
        <w:tc>
          <w:tcPr>
            <w:tcW w:type="dxa" w:w="800"/>
            <w:shd w:fill="1F3864" w:val="clear"/>
          </w:tcPr>
          <w:p>
            <w:pPr>
              <w:jc w:val="center"/>
            </w:pPr>
            <w:r>
              <w:rPr>
                <w:b/>
                <w:bCs/>
                <w:color w:val="FFFFFF"/>
                <w:sz w:val="19"/>
                <w:szCs w:val="19"/>
              </w:rPr>
              <w:t xml:space="preserve">Acc.</w:t>
            </w:r>
          </w:p>
        </w:tc>
      </w:tr>
      <w:tr>
        <w:tc>
          <w:tcPr>
            <w:tcW w:type="dxa" w:w="2360"/>
            <w:shd w:fill="FFFFFF" w:val="clear"/>
          </w:tcPr>
          <w:p>
            <w:pPr>
              <w:jc w:val="left"/>
            </w:pPr>
            <w:r>
              <w:rPr>
                <w:b/>
                <w:bCs/>
                <w:sz w:val="19"/>
                <w:szCs w:val="19"/>
              </w:rPr>
              <w:t xml:space="preserve">v1 (BIO, 9 clases)</w:t>
            </w:r>
          </w:p>
        </w:tc>
        <w:tc>
          <w:tcPr>
            <w:tcW w:type="dxa" w:w="1400"/>
            <w:shd w:fill="FFFFFF" w:val="clear"/>
          </w:tcPr>
          <w:p>
            <w:pPr>
              <w:jc w:val="center"/>
            </w:pPr>
            <w:r>
              <w:rPr>
                <w:b w:val="false"/>
                <w:bCs w:val="false"/>
                <w:sz w:val="19"/>
                <w:szCs w:val="19"/>
              </w:rPr>
              <w:t xml:space="preserve">0.27</w:t>
            </w:r>
          </w:p>
        </w:tc>
        <w:tc>
          <w:tcPr>
            <w:tcW w:type="dxa" w:w="1200"/>
            <w:shd w:fill="FFFFFF" w:val="clear"/>
          </w:tcPr>
          <w:p>
            <w:pPr>
              <w:jc w:val="center"/>
            </w:pPr>
            <w:r>
              <w:rPr>
                <w:b w:val="false"/>
                <w:bCs w:val="false"/>
                <w:sz w:val="19"/>
                <w:szCs w:val="19"/>
              </w:rPr>
              <w:t xml:space="preserve">0.71</w:t>
            </w:r>
          </w:p>
        </w:tc>
        <w:tc>
          <w:tcPr>
            <w:tcW w:type="dxa" w:w="1200"/>
            <w:shd w:fill="FFFFFF" w:val="clear"/>
          </w:tcPr>
          <w:p>
            <w:pPr>
              <w:jc w:val="center"/>
            </w:pPr>
            <w:r>
              <w:rPr>
                <w:b w:val="false"/>
                <w:bCs w:val="false"/>
                <w:sz w:val="19"/>
                <w:szCs w:val="19"/>
              </w:rPr>
              <w:t xml:space="preserve">0.47</w:t>
            </w:r>
          </w:p>
        </w:tc>
        <w:tc>
          <w:tcPr>
            <w:tcW w:type="dxa" w:w="1200"/>
            <w:shd w:fill="FFFFFF" w:val="clear"/>
          </w:tcPr>
          <w:p>
            <w:pPr>
              <w:jc w:val="center"/>
            </w:pPr>
            <w:r>
              <w:rPr>
                <w:b w:val="false"/>
                <w:bCs w:val="false"/>
                <w:sz w:val="19"/>
                <w:szCs w:val="19"/>
              </w:rPr>
              <w:t xml:space="preserve">0.48</w:t>
            </w:r>
          </w:p>
        </w:tc>
        <w:tc>
          <w:tcPr>
            <w:tcW w:type="dxa" w:w="1200"/>
            <w:shd w:fill="FFFFFF" w:val="clear"/>
          </w:tcPr>
          <w:p>
            <w:pPr>
              <w:jc w:val="center"/>
            </w:pPr>
            <w:r>
              <w:rPr>
                <w:b w:val="false"/>
                <w:bCs w:val="false"/>
                <w:sz w:val="19"/>
                <w:szCs w:val="19"/>
              </w:rPr>
              <w:t xml:space="preserve">0.04</w:t>
            </w:r>
          </w:p>
        </w:tc>
        <w:tc>
          <w:tcPr>
            <w:tcW w:type="dxa" w:w="800"/>
            <w:shd w:fill="FFFFFF" w:val="clear"/>
          </w:tcPr>
          <w:p>
            <w:pPr>
              <w:jc w:val="center"/>
            </w:pPr>
            <w:r>
              <w:rPr>
                <w:b w:val="false"/>
                <w:bCs w:val="false"/>
                <w:sz w:val="19"/>
                <w:szCs w:val="19"/>
              </w:rPr>
              <w:t xml:space="preserve">0.68</w:t>
            </w:r>
          </w:p>
        </w:tc>
      </w:tr>
      <w:tr>
        <w:tc>
          <w:tcPr>
            <w:tcW w:type="dxa" w:w="2360"/>
            <w:shd w:fill="F2F2F2" w:val="clear"/>
          </w:tcPr>
          <w:p>
            <w:pPr>
              <w:jc w:val="left"/>
            </w:pPr>
            <w:r>
              <w:rPr>
                <w:b/>
                <w:bCs/>
                <w:sz w:val="19"/>
                <w:szCs w:val="19"/>
              </w:rPr>
              <w:t xml:space="preserve">v2 (IO, 5 clases)</w:t>
            </w:r>
          </w:p>
        </w:tc>
        <w:tc>
          <w:tcPr>
            <w:tcW w:type="dxa" w:w="1400"/>
            <w:shd w:fill="F2F2F2" w:val="clear"/>
          </w:tcPr>
          <w:p>
            <w:pPr>
              <w:jc w:val="center"/>
            </w:pPr>
            <w:r>
              <w:rPr>
                <w:b w:val="false"/>
                <w:bCs w:val="false"/>
                <w:sz w:val="19"/>
                <w:szCs w:val="19"/>
              </w:rPr>
              <w:t xml:space="preserve">0.58</w:t>
            </w:r>
          </w:p>
        </w:tc>
        <w:tc>
          <w:tcPr>
            <w:tcW w:type="dxa" w:w="1200"/>
            <w:shd w:fill="F2F2F2" w:val="clear"/>
          </w:tcPr>
          <w:p>
            <w:pPr>
              <w:jc w:val="center"/>
            </w:pPr>
            <w:r>
              <w:rPr>
                <w:b w:val="false"/>
                <w:bCs w:val="false"/>
                <w:sz w:val="19"/>
                <w:szCs w:val="19"/>
              </w:rPr>
              <w:t xml:space="preserve">0.77</w:t>
            </w:r>
          </w:p>
        </w:tc>
        <w:tc>
          <w:tcPr>
            <w:tcW w:type="dxa" w:w="1200"/>
            <w:shd w:fill="F2F2F2" w:val="clear"/>
          </w:tcPr>
          <w:p>
            <w:pPr>
              <w:jc w:val="center"/>
            </w:pPr>
            <w:r>
              <w:rPr>
                <w:b w:val="false"/>
                <w:bCs w:val="false"/>
                <w:sz w:val="19"/>
                <w:szCs w:val="19"/>
              </w:rPr>
              <w:t xml:space="preserve">0.52</w:t>
            </w:r>
          </w:p>
        </w:tc>
        <w:tc>
          <w:tcPr>
            <w:tcW w:type="dxa" w:w="1200"/>
            <w:shd w:fill="F2F2F2" w:val="clear"/>
          </w:tcPr>
          <w:p>
            <w:pPr>
              <w:jc w:val="center"/>
            </w:pPr>
            <w:r>
              <w:rPr>
                <w:b w:val="false"/>
                <w:bCs w:val="false"/>
                <w:sz w:val="19"/>
                <w:szCs w:val="19"/>
              </w:rPr>
              <w:t xml:space="preserve">0.52</w:t>
            </w:r>
          </w:p>
        </w:tc>
        <w:tc>
          <w:tcPr>
            <w:tcW w:type="dxa" w:w="1200"/>
            <w:shd w:fill="F2F2F2" w:val="clear"/>
          </w:tcPr>
          <w:p>
            <w:pPr>
              <w:jc w:val="center"/>
            </w:pPr>
            <w:r>
              <w:rPr>
                <w:b w:val="false"/>
                <w:bCs w:val="false"/>
                <w:sz w:val="19"/>
                <w:szCs w:val="19"/>
              </w:rPr>
              <w:t xml:space="preserve">0.32</w:t>
            </w:r>
          </w:p>
        </w:tc>
        <w:tc>
          <w:tcPr>
            <w:tcW w:type="dxa" w:w="800"/>
            <w:shd w:fill="F2F2F2" w:val="clear"/>
          </w:tcPr>
          <w:p>
            <w:pPr>
              <w:jc w:val="center"/>
            </w:pPr>
            <w:r>
              <w:rPr>
                <w:b w:val="false"/>
                <w:bCs w:val="false"/>
                <w:sz w:val="19"/>
                <w:szCs w:val="19"/>
              </w:rPr>
              <w:t xml:space="preserve">0.73</w:t>
            </w:r>
          </w:p>
        </w:tc>
      </w:tr>
      <w:tr>
        <w:tc>
          <w:tcPr>
            <w:tcW w:type="dxa" w:w="2360"/>
            <w:shd w:fill="FFFFFF" w:val="clear"/>
          </w:tcPr>
          <w:p>
            <w:pPr>
              <w:jc w:val="left"/>
            </w:pPr>
            <w:r>
              <w:rPr>
                <w:b/>
                <w:bCs/>
                <w:sz w:val="19"/>
                <w:szCs w:val="19"/>
              </w:rPr>
              <w:t xml:space="preserve">Δ (v2−v1)</w:t>
            </w:r>
          </w:p>
        </w:tc>
        <w:tc>
          <w:tcPr>
            <w:tcW w:type="dxa" w:w="1400"/>
            <w:shd w:fill="FFFFFF" w:val="clear"/>
          </w:tcPr>
          <w:p>
            <w:pPr>
              <w:jc w:val="center"/>
            </w:pPr>
            <w:r>
              <w:rPr>
                <w:b w:val="false"/>
                <w:bCs w:val="false"/>
                <w:sz w:val="19"/>
                <w:szCs w:val="19"/>
              </w:rPr>
              <w:t xml:space="preserve">+0.31</w:t>
            </w:r>
          </w:p>
        </w:tc>
        <w:tc>
          <w:tcPr>
            <w:tcW w:type="dxa" w:w="1200"/>
            <w:shd w:fill="FFFFFF" w:val="clear"/>
          </w:tcPr>
          <w:p>
            <w:pPr>
              <w:jc w:val="center"/>
            </w:pPr>
            <w:r>
              <w:rPr>
                <w:b w:val="false"/>
                <w:bCs w:val="false"/>
                <w:sz w:val="19"/>
                <w:szCs w:val="19"/>
              </w:rPr>
              <w:t xml:space="preserve">+0.06</w:t>
            </w:r>
          </w:p>
        </w:tc>
        <w:tc>
          <w:tcPr>
            <w:tcW w:type="dxa" w:w="1200"/>
            <w:shd w:fill="FFFFFF" w:val="clear"/>
          </w:tcPr>
          <w:p>
            <w:pPr>
              <w:jc w:val="center"/>
            </w:pPr>
            <w:r>
              <w:rPr>
                <w:b w:val="false"/>
                <w:bCs w:val="false"/>
                <w:sz w:val="19"/>
                <w:szCs w:val="19"/>
              </w:rPr>
              <w:t xml:space="preserve">+0.05</w:t>
            </w:r>
          </w:p>
        </w:tc>
        <w:tc>
          <w:tcPr>
            <w:tcW w:type="dxa" w:w="1200"/>
            <w:shd w:fill="FFFFFF" w:val="clear"/>
          </w:tcPr>
          <w:p>
            <w:pPr>
              <w:jc w:val="center"/>
            </w:pPr>
            <w:r>
              <w:rPr>
                <w:b w:val="false"/>
                <w:bCs w:val="false"/>
                <w:sz w:val="19"/>
                <w:szCs w:val="19"/>
              </w:rPr>
              <w:t xml:space="preserve">+0.04</w:t>
            </w:r>
          </w:p>
        </w:tc>
        <w:tc>
          <w:tcPr>
            <w:tcW w:type="dxa" w:w="1200"/>
            <w:shd w:fill="FFFFFF" w:val="clear"/>
          </w:tcPr>
          <w:p>
            <w:pPr>
              <w:jc w:val="center"/>
            </w:pPr>
            <w:r>
              <w:rPr>
                <w:b w:val="false"/>
                <w:bCs w:val="false"/>
                <w:sz w:val="19"/>
                <w:szCs w:val="19"/>
              </w:rPr>
              <w:t xml:space="preserve">+0.28</w:t>
            </w:r>
          </w:p>
        </w:tc>
        <w:tc>
          <w:tcPr>
            <w:tcW w:type="dxa" w:w="800"/>
            <w:shd w:fill="FFFFFF" w:val="clear"/>
          </w:tcPr>
          <w:p>
            <w:pPr>
              <w:jc w:val="center"/>
            </w:pPr>
            <w:r>
              <w:rPr>
                <w:b w:val="false"/>
                <w:bCs w:val="false"/>
                <w:sz w:val="19"/>
                <w:szCs w:val="19"/>
              </w:rPr>
              <w:t xml:space="preserve">+0.05</w:t>
            </w:r>
          </w:p>
        </w:tc>
      </w:tr>
    </w:tbl>
    <w:p>
      <w:pPr>
        <w:spacing w:after="120" w:line="276"/>
        <w:jc w:val="both"/>
      </w:pPr>
      <w:r>
        <w:rPr>
          <w:sz w:val="22"/>
          <w:szCs w:val="22"/>
        </w:rPr>
        <w:t xml:space="preserve">CFH-BERT v2 demuestra que el esquema IO con weighted loss supera significativamente al BIO simple con datos escasos: F1 macro pasa de 0.27 a 0.58 con las mismas 100 anotaciones. La mejora más notable es en NV (F1: 0.04 → 0.32), confirmando que el weighted loss compensa el desbalance extremo de clases cuando los pesos se calibran correctamente.</w:t>
      </w:r>
    </w:p>
    <w:p>
      <w:pPr>
        <w:pStyle w:val="Heading2"/>
        <w:spacing w:after="100" w:before="200"/>
      </w:pPr>
      <w:r>
        <w:rPr>
          <w:b/>
          <w:bCs/>
          <w:color w:val="1F3864"/>
          <w:sz w:val="26"/>
          <w:szCs w:val="26"/>
        </w:rPr>
        <w:t xml:space="preserve">5.6 Brecha discursiva — evidencia integrada A vs B</w:t>
      </w:r>
    </w:p>
    <w:p>
      <w:pPr>
        <w:spacing w:after="60" w:before="60"/>
      </w:pPr>
      <w:r>
        <w:rPr>
          <w:i/>
          <w:iCs/>
          <w:color w:val="595959"/>
          <w:sz w:val="19"/>
          <w:szCs w:val="19"/>
        </w:rPr>
        <w:t xml:space="preserve">Tabla 5.5. Evidencia integrada A vs B — indicadores CFH Capas 1 y 2 (Corpus B fortalecido, N_B=80, N_A=819). Mann-Whitney U bilateral. * p&lt;0.05  *** p&lt;0.001  n.s. no significativo.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560"/>
        <w:gridCol w:w="1400"/>
        <w:gridCol w:w="1800"/>
      </w:tblGrid>
      <w:tr>
        <w:trPr>
          <w:tblHeader/>
        </w:trPr>
        <w:tc>
          <w:tcPr>
            <w:tcW w:type="dxa" w:w="2200"/>
            <w:shd w:fill="1F3864" w:val="clear"/>
          </w:tcPr>
          <w:p>
            <w:pPr>
              <w:jc w:val="center"/>
            </w:pPr>
            <w:r>
              <w:rPr>
                <w:b/>
                <w:bCs/>
                <w:color w:val="FFFFFF"/>
                <w:sz w:val="19"/>
                <w:szCs w:val="19"/>
              </w:rPr>
              <w:t xml:space="preserve">Indicador</w:t>
            </w:r>
          </w:p>
        </w:tc>
        <w:tc>
          <w:tcPr>
            <w:tcW w:type="dxa" w:w="1200"/>
            <w:shd w:fill="1F3864" w:val="clear"/>
          </w:tcPr>
          <w:p>
            <w:pPr>
              <w:jc w:val="center"/>
            </w:pPr>
            <w:r>
              <w:rPr>
                <w:b/>
                <w:bCs/>
                <w:color w:val="FFFFFF"/>
                <w:sz w:val="19"/>
                <w:szCs w:val="19"/>
              </w:rPr>
              <w:t xml:space="preserve">A</w:t>
            </w:r>
          </w:p>
        </w:tc>
        <w:tc>
          <w:tcPr>
            <w:tcW w:type="dxa" w:w="1200"/>
            <w:shd w:fill="1F3864" w:val="clear"/>
          </w:tcPr>
          <w:p>
            <w:pPr>
              <w:jc w:val="center"/>
            </w:pPr>
            <w:r>
              <w:rPr>
                <w:b/>
                <w:bCs/>
                <w:color w:val="FFFFFF"/>
                <w:sz w:val="19"/>
                <w:szCs w:val="19"/>
              </w:rPr>
              <w:t xml:space="preserve">B</w:t>
            </w:r>
          </w:p>
        </w:tc>
        <w:tc>
          <w:tcPr>
            <w:tcW w:type="dxa" w:w="1560"/>
            <w:shd w:fill="1F3864" w:val="clear"/>
          </w:tcPr>
          <w:p>
            <w:pPr>
              <w:jc w:val="center"/>
            </w:pPr>
            <w:r>
              <w:rPr>
                <w:b/>
                <w:bCs/>
                <w:color w:val="FFFFFF"/>
                <w:sz w:val="19"/>
                <w:szCs w:val="19"/>
              </w:rPr>
              <w:t xml:space="preserve">p-valor</w:t>
            </w:r>
          </w:p>
        </w:tc>
        <w:tc>
          <w:tcPr>
            <w:tcW w:type="dxa" w:w="1400"/>
            <w:shd w:fill="1F3864" w:val="clear"/>
          </w:tcPr>
          <w:p>
            <w:pPr>
              <w:jc w:val="center"/>
            </w:pPr>
            <w:r>
              <w:rPr>
                <w:b/>
                <w:bCs/>
                <w:color w:val="FFFFFF"/>
                <w:sz w:val="19"/>
                <w:szCs w:val="19"/>
              </w:rPr>
              <w:t xml:space="preserve">Cohen's d</w:t>
            </w:r>
          </w:p>
        </w:tc>
        <w:tc>
          <w:tcPr>
            <w:tcW w:type="dxa" w:w="1800"/>
            <w:shd w:fill="1F3864" w:val="clear"/>
          </w:tcPr>
          <w:p>
            <w:pPr>
              <w:jc w:val="center"/>
            </w:pPr>
            <w:r>
              <w:rPr>
                <w:b/>
                <w:bCs/>
                <w:color w:val="FFFFFF"/>
                <w:sz w:val="19"/>
                <w:szCs w:val="19"/>
              </w:rPr>
              <w:t xml:space="preserve">Dirección</w:t>
            </w:r>
          </w:p>
        </w:tc>
      </w:tr>
      <w:tr>
        <w:tc>
          <w:tcPr>
            <w:tcW w:type="dxa" w:w="2200"/>
            <w:shd w:fill="FFFFFF" w:val="clear"/>
          </w:tcPr>
          <w:p>
            <w:pPr>
              <w:jc w:val="left"/>
            </w:pPr>
            <w:r>
              <w:rPr>
                <w:b/>
                <w:bCs/>
                <w:sz w:val="19"/>
                <w:szCs w:val="19"/>
              </w:rPr>
              <w:t xml:space="preserve">y₁ EBI</w:t>
            </w:r>
          </w:p>
        </w:tc>
        <w:tc>
          <w:tcPr>
            <w:tcW w:type="dxa" w:w="1200"/>
            <w:shd w:fill="FFFFFF" w:val="clear"/>
          </w:tcPr>
          <w:p>
            <w:pPr>
              <w:jc w:val="center"/>
            </w:pPr>
            <w:r>
              <w:rPr>
                <w:b w:val="false"/>
                <w:bCs w:val="false"/>
                <w:sz w:val="19"/>
                <w:szCs w:val="19"/>
              </w:rPr>
              <w:t xml:space="preserve">0.186</w:t>
            </w:r>
          </w:p>
        </w:tc>
        <w:tc>
          <w:tcPr>
            <w:tcW w:type="dxa" w:w="1200"/>
            <w:shd w:fill="FFFFFF" w:val="clear"/>
          </w:tcPr>
          <w:p>
            <w:pPr>
              <w:jc w:val="center"/>
            </w:pPr>
            <w:r>
              <w:rPr>
                <w:b w:val="false"/>
                <w:bCs w:val="false"/>
                <w:sz w:val="19"/>
                <w:szCs w:val="19"/>
              </w:rPr>
              <w:t xml:space="preserve">0.451</w:t>
            </w:r>
          </w:p>
        </w:tc>
        <w:tc>
          <w:tcPr>
            <w:tcW w:type="dxa" w:w="1560"/>
            <w:shd w:fill="FFFFFF" w:val="clear"/>
          </w:tcPr>
          <w:p>
            <w:pPr>
              <w:jc w:val="center"/>
            </w:pPr>
            <w:r>
              <w:rPr>
                <w:b w:val="false"/>
                <w:bCs w:val="false"/>
                <w:sz w:val="19"/>
                <w:szCs w:val="19"/>
              </w:rPr>
              <w:t xml:space="preserve">&lt;0.001 ***</w:t>
            </w:r>
          </w:p>
        </w:tc>
        <w:tc>
          <w:tcPr>
            <w:tcW w:type="dxa" w:w="1400"/>
            <w:shd w:fill="FFFFFF" w:val="clear"/>
          </w:tcPr>
          <w:p>
            <w:pPr>
              <w:jc w:val="center"/>
            </w:pPr>
            <w:r>
              <w:rPr>
                <w:b w:val="false"/>
                <w:bCs w:val="false"/>
                <w:sz w:val="19"/>
                <w:szCs w:val="19"/>
              </w:rPr>
              <w:t xml:space="preserve">−0.41</w:t>
            </w:r>
          </w:p>
        </w:tc>
        <w:tc>
          <w:tcPr>
            <w:tcW w:type="dxa" w:w="1800"/>
            <w:shd w:fill="FFFFFF" w:val="clear"/>
          </w:tcPr>
          <w:p>
            <w:pPr>
              <w:jc w:val="center"/>
            </w:pPr>
            <w:r>
              <w:rPr>
                <w:b w:val="false"/>
                <w:bCs w:val="false"/>
                <w:sz w:val="19"/>
                <w:szCs w:val="19"/>
              </w:rPr>
              <w:t xml:space="preserve">B &gt; A ✓</w:t>
            </w:r>
          </w:p>
        </w:tc>
      </w:tr>
      <w:tr>
        <w:tc>
          <w:tcPr>
            <w:tcW w:type="dxa" w:w="2200"/>
            <w:shd w:fill="F2F2F2" w:val="clear"/>
          </w:tcPr>
          <w:p>
            <w:pPr>
              <w:jc w:val="left"/>
            </w:pPr>
            <w:r>
              <w:rPr>
                <w:b/>
                <w:bCs/>
                <w:sz w:val="19"/>
                <w:szCs w:val="19"/>
              </w:rPr>
              <w:t xml:space="preserve">y₂ SA</w:t>
            </w:r>
          </w:p>
        </w:tc>
        <w:tc>
          <w:tcPr>
            <w:tcW w:type="dxa" w:w="1200"/>
            <w:shd w:fill="F2F2F2" w:val="clear"/>
          </w:tcPr>
          <w:p>
            <w:pPr>
              <w:jc w:val="center"/>
            </w:pPr>
            <w:r>
              <w:rPr>
                <w:b w:val="false"/>
                <w:bCs w:val="false"/>
                <w:sz w:val="19"/>
                <w:szCs w:val="19"/>
              </w:rPr>
              <w:t xml:space="preserve">0.885</w:t>
            </w:r>
          </w:p>
        </w:tc>
        <w:tc>
          <w:tcPr>
            <w:tcW w:type="dxa" w:w="1200"/>
            <w:shd w:fill="F2F2F2" w:val="clear"/>
          </w:tcPr>
          <w:p>
            <w:pPr>
              <w:jc w:val="center"/>
            </w:pPr>
            <w:r>
              <w:rPr>
                <w:b w:val="false"/>
                <w:bCs w:val="false"/>
                <w:sz w:val="19"/>
                <w:szCs w:val="19"/>
              </w:rPr>
              <w:t xml:space="preserve">0.873</w:t>
            </w:r>
          </w:p>
        </w:tc>
        <w:tc>
          <w:tcPr>
            <w:tcW w:type="dxa" w:w="1560"/>
            <w:shd w:fill="F2F2F2" w:val="clear"/>
          </w:tcPr>
          <w:p>
            <w:pPr>
              <w:jc w:val="center"/>
            </w:pPr>
            <w:r>
              <w:rPr>
                <w:b w:val="false"/>
                <w:bCs w:val="false"/>
                <w:sz w:val="19"/>
                <w:szCs w:val="19"/>
              </w:rPr>
              <w:t xml:space="preserve">0.944 n.s.</w:t>
            </w:r>
          </w:p>
        </w:tc>
        <w:tc>
          <w:tcPr>
            <w:tcW w:type="dxa" w:w="1400"/>
            <w:shd w:fill="F2F2F2" w:val="clear"/>
          </w:tcPr>
          <w:p>
            <w:pPr>
              <w:jc w:val="center"/>
            </w:pPr>
            <w:r>
              <w:rPr>
                <w:b w:val="false"/>
                <w:bCs w:val="false"/>
                <w:sz w:val="19"/>
                <w:szCs w:val="19"/>
              </w:rPr>
              <w:t xml:space="preserve">+0.05</w:t>
            </w:r>
          </w:p>
        </w:tc>
        <w:tc>
          <w:tcPr>
            <w:tcW w:type="dxa" w:w="1800"/>
            <w:shd w:fill="F2F2F2" w:val="clear"/>
          </w:tcPr>
          <w:p>
            <w:pPr>
              <w:jc w:val="center"/>
            </w:pPr>
            <w:r>
              <w:rPr>
                <w:b w:val="false"/>
                <w:bCs w:val="false"/>
                <w:sz w:val="19"/>
                <w:szCs w:val="19"/>
              </w:rPr>
              <w:t xml:space="preserve">transversal</w:t>
            </w:r>
          </w:p>
        </w:tc>
      </w:tr>
      <w:tr>
        <w:tc>
          <w:tcPr>
            <w:tcW w:type="dxa" w:w="2200"/>
            <w:shd w:fill="FFFFFF" w:val="clear"/>
          </w:tcPr>
          <w:p>
            <w:pPr>
              <w:jc w:val="left"/>
            </w:pPr>
            <w:r>
              <w:rPr>
                <w:b/>
                <w:bCs/>
                <w:sz w:val="19"/>
                <w:szCs w:val="19"/>
              </w:rPr>
              <w:t xml:space="preserve">y₄ NV</w:t>
            </w:r>
          </w:p>
        </w:tc>
        <w:tc>
          <w:tcPr>
            <w:tcW w:type="dxa" w:w="1200"/>
            <w:shd w:fill="FFFFFF" w:val="clear"/>
          </w:tcPr>
          <w:p>
            <w:pPr>
              <w:jc w:val="center"/>
            </w:pPr>
            <w:r>
              <w:rPr>
                <w:b w:val="false"/>
                <w:bCs w:val="false"/>
                <w:sz w:val="19"/>
                <w:szCs w:val="19"/>
              </w:rPr>
              <w:t xml:space="preserve">0.239</w:t>
            </w:r>
          </w:p>
        </w:tc>
        <w:tc>
          <w:tcPr>
            <w:tcW w:type="dxa" w:w="1200"/>
            <w:shd w:fill="FFFFFF" w:val="clear"/>
          </w:tcPr>
          <w:p>
            <w:pPr>
              <w:jc w:val="center"/>
            </w:pPr>
            <w:r>
              <w:rPr>
                <w:b w:val="false"/>
                <w:bCs w:val="false"/>
                <w:sz w:val="19"/>
                <w:szCs w:val="19"/>
              </w:rPr>
              <w:t xml:space="preserve">0.236</w:t>
            </w:r>
          </w:p>
        </w:tc>
        <w:tc>
          <w:tcPr>
            <w:tcW w:type="dxa" w:w="1560"/>
            <w:shd w:fill="FFFFFF" w:val="clear"/>
          </w:tcPr>
          <w:p>
            <w:pPr>
              <w:jc w:val="center"/>
            </w:pPr>
            <w:r>
              <w:rPr>
                <w:b w:val="false"/>
                <w:bCs w:val="false"/>
                <w:sz w:val="19"/>
                <w:szCs w:val="19"/>
              </w:rPr>
              <w:t xml:space="preserve">0.024 *</w:t>
            </w:r>
          </w:p>
        </w:tc>
        <w:tc>
          <w:tcPr>
            <w:tcW w:type="dxa" w:w="1400"/>
            <w:shd w:fill="FFFFFF" w:val="clear"/>
          </w:tcPr>
          <w:p>
            <w:pPr>
              <w:jc w:val="center"/>
            </w:pPr>
            <w:r>
              <w:rPr>
                <w:b w:val="false"/>
                <w:bCs w:val="false"/>
                <w:sz w:val="19"/>
                <w:szCs w:val="19"/>
              </w:rPr>
              <w:t xml:space="preserve">+0.01</w:t>
            </w:r>
          </w:p>
        </w:tc>
        <w:tc>
          <w:tcPr>
            <w:tcW w:type="dxa" w:w="1800"/>
            <w:shd w:fill="FFFFFF" w:val="clear"/>
          </w:tcPr>
          <w:p>
            <w:pPr>
              <w:jc w:val="center"/>
            </w:pPr>
            <w:r>
              <w:rPr>
                <w:b w:val="false"/>
                <w:bCs w:val="false"/>
                <w:sz w:val="19"/>
                <w:szCs w:val="19"/>
              </w:rPr>
              <w:t xml:space="preserve">efecto trivial</w:t>
            </w:r>
          </w:p>
        </w:tc>
      </w:tr>
      <w:tr>
        <w:tc>
          <w:tcPr>
            <w:tcW w:type="dxa" w:w="2200"/>
            <w:shd w:fill="F2F2F2" w:val="clear"/>
          </w:tcPr>
          <w:p>
            <w:pPr>
              <w:jc w:val="left"/>
            </w:pPr>
            <w:r>
              <w:rPr>
                <w:b/>
                <w:bCs/>
                <w:sz w:val="19"/>
                <w:szCs w:val="19"/>
              </w:rPr>
              <w:t xml:space="preserve">y₈ Dist. MAFAPO</w:t>
            </w:r>
          </w:p>
        </w:tc>
        <w:tc>
          <w:tcPr>
            <w:tcW w:type="dxa" w:w="1200"/>
            <w:shd w:fill="F2F2F2" w:val="clear"/>
          </w:tcPr>
          <w:p>
            <w:pPr>
              <w:jc w:val="center"/>
            </w:pPr>
            <w:r>
              <w:rPr>
                <w:b w:val="false"/>
                <w:bCs w:val="false"/>
                <w:sz w:val="19"/>
                <w:szCs w:val="19"/>
              </w:rPr>
              <w:t xml:space="preserve">0.211</w:t>
            </w:r>
          </w:p>
        </w:tc>
        <w:tc>
          <w:tcPr>
            <w:tcW w:type="dxa" w:w="1200"/>
            <w:shd w:fill="F2F2F2" w:val="clear"/>
          </w:tcPr>
          <w:p>
            <w:pPr>
              <w:jc w:val="center"/>
            </w:pPr>
            <w:r>
              <w:rPr>
                <w:b w:val="false"/>
                <w:bCs w:val="false"/>
                <w:sz w:val="19"/>
                <w:szCs w:val="19"/>
              </w:rPr>
              <w:t xml:space="preserve">0.155</w:t>
            </w:r>
          </w:p>
        </w:tc>
        <w:tc>
          <w:tcPr>
            <w:tcW w:type="dxa" w:w="1560"/>
            <w:shd w:fill="F2F2F2" w:val="clear"/>
          </w:tcPr>
          <w:p>
            <w:pPr>
              <w:jc w:val="center"/>
            </w:pPr>
            <w:r>
              <w:rPr>
                <w:b w:val="false"/>
                <w:bCs w:val="false"/>
                <w:sz w:val="19"/>
                <w:szCs w:val="19"/>
              </w:rPr>
              <w:t xml:space="preserve">&lt;0.001 ***</w:t>
            </w:r>
          </w:p>
        </w:tc>
        <w:tc>
          <w:tcPr>
            <w:tcW w:type="dxa" w:w="1400"/>
            <w:shd w:fill="F2F2F2" w:val="clear"/>
          </w:tcPr>
          <w:p>
            <w:pPr>
              <w:jc w:val="center"/>
            </w:pPr>
            <w:r>
              <w:rPr>
                <w:b w:val="false"/>
                <w:bCs w:val="false"/>
                <w:sz w:val="19"/>
                <w:szCs w:val="19"/>
              </w:rPr>
              <w:t xml:space="preserve">+1.39</w:t>
            </w:r>
          </w:p>
        </w:tc>
        <w:tc>
          <w:tcPr>
            <w:tcW w:type="dxa" w:w="1800"/>
            <w:shd w:fill="F2F2F2" w:val="clear"/>
          </w:tcPr>
          <w:p>
            <w:pPr>
              <w:jc w:val="center"/>
            </w:pPr>
            <w:r>
              <w:rPr>
                <w:b w:val="false"/>
                <w:bCs w:val="false"/>
                <w:sz w:val="19"/>
                <w:szCs w:val="19"/>
              </w:rPr>
              <w:t xml:space="preserve">B &lt; A ✓✓</w:t>
            </w:r>
          </w:p>
        </w:tc>
      </w:tr>
      <w:tr>
        <w:tc>
          <w:tcPr>
            <w:tcW w:type="dxa" w:w="2200"/>
            <w:shd w:fill="FFFFFF" w:val="clear"/>
          </w:tcPr>
          <w:p>
            <w:pPr>
              <w:jc w:val="left"/>
            </w:pPr>
            <w:r>
              <w:rPr>
                <w:b/>
                <w:bCs/>
                <w:sz w:val="19"/>
                <w:szCs w:val="19"/>
              </w:rPr>
              <w:t xml:space="preserve">y₉ Dist. CIDH</w:t>
            </w:r>
          </w:p>
        </w:tc>
        <w:tc>
          <w:tcPr>
            <w:tcW w:type="dxa" w:w="1200"/>
            <w:shd w:fill="FFFFFF" w:val="clear"/>
          </w:tcPr>
          <w:p>
            <w:pPr>
              <w:jc w:val="center"/>
            </w:pPr>
            <w:r>
              <w:rPr>
                <w:b w:val="false"/>
                <w:bCs w:val="false"/>
                <w:sz w:val="19"/>
                <w:szCs w:val="19"/>
              </w:rPr>
              <w:t xml:space="preserve">0.254</w:t>
            </w:r>
          </w:p>
        </w:tc>
        <w:tc>
          <w:tcPr>
            <w:tcW w:type="dxa" w:w="1200"/>
            <w:shd w:fill="FFFFFF" w:val="clear"/>
          </w:tcPr>
          <w:p>
            <w:pPr>
              <w:jc w:val="center"/>
            </w:pPr>
            <w:r>
              <w:rPr>
                <w:b w:val="false"/>
                <w:bCs w:val="false"/>
                <w:sz w:val="19"/>
                <w:szCs w:val="19"/>
              </w:rPr>
              <w:t xml:space="preserve">0.217</w:t>
            </w:r>
          </w:p>
        </w:tc>
        <w:tc>
          <w:tcPr>
            <w:tcW w:type="dxa" w:w="1560"/>
            <w:shd w:fill="FFFFFF" w:val="clear"/>
          </w:tcPr>
          <w:p>
            <w:pPr>
              <w:jc w:val="center"/>
            </w:pPr>
            <w:r>
              <w:rPr>
                <w:b w:val="false"/>
                <w:bCs w:val="false"/>
                <w:sz w:val="19"/>
                <w:szCs w:val="19"/>
              </w:rPr>
              <w:t xml:space="preserve">&lt;0.001 ***</w:t>
            </w:r>
          </w:p>
        </w:tc>
        <w:tc>
          <w:tcPr>
            <w:tcW w:type="dxa" w:w="1400"/>
            <w:shd w:fill="FFFFFF" w:val="clear"/>
          </w:tcPr>
          <w:p>
            <w:pPr>
              <w:jc w:val="center"/>
            </w:pPr>
            <w:r>
              <w:rPr>
                <w:b w:val="false"/>
                <w:bCs w:val="false"/>
                <w:sz w:val="19"/>
                <w:szCs w:val="19"/>
              </w:rPr>
              <w:t xml:space="preserve">+0.95</w:t>
            </w:r>
          </w:p>
        </w:tc>
        <w:tc>
          <w:tcPr>
            <w:tcW w:type="dxa" w:w="1800"/>
            <w:shd w:fill="FFFFFF" w:val="clear"/>
          </w:tcPr>
          <w:p>
            <w:pPr>
              <w:jc w:val="center"/>
            </w:pPr>
            <w:r>
              <w:rPr>
                <w:b w:val="false"/>
                <w:bCs w:val="false"/>
                <w:sz w:val="19"/>
                <w:szCs w:val="19"/>
              </w:rPr>
              <w:t xml:space="preserve">B &lt; A ✓</w:t>
            </w:r>
          </w:p>
        </w:tc>
      </w:tr>
      <w:tr>
        <w:tc>
          <w:tcPr>
            <w:tcW w:type="dxa" w:w="2200"/>
            <w:shd w:fill="F2F2F2" w:val="clear"/>
          </w:tcPr>
          <w:p>
            <w:pPr>
              <w:jc w:val="left"/>
            </w:pPr>
            <w:r>
              <w:rPr>
                <w:b/>
                <w:bCs/>
                <w:sz w:val="19"/>
                <w:szCs w:val="19"/>
              </w:rPr>
              <w:t xml:space="preserve">y₁₀ REP</w:t>
            </w:r>
          </w:p>
        </w:tc>
        <w:tc>
          <w:tcPr>
            <w:tcW w:type="dxa" w:w="1200"/>
            <w:shd w:fill="F2F2F2" w:val="clear"/>
          </w:tcPr>
          <w:p>
            <w:pPr>
              <w:jc w:val="center"/>
            </w:pPr>
            <w:r>
              <w:rPr>
                <w:b w:val="false"/>
                <w:bCs w:val="false"/>
                <w:sz w:val="19"/>
                <w:szCs w:val="19"/>
              </w:rPr>
              <w:t xml:space="preserve">0.133</w:t>
            </w:r>
          </w:p>
        </w:tc>
        <w:tc>
          <w:tcPr>
            <w:tcW w:type="dxa" w:w="1200"/>
            <w:shd w:fill="F2F2F2" w:val="clear"/>
          </w:tcPr>
          <w:p>
            <w:pPr>
              <w:jc w:val="center"/>
            </w:pPr>
            <w:r>
              <w:rPr>
                <w:b w:val="false"/>
                <w:bCs w:val="false"/>
                <w:sz w:val="19"/>
                <w:szCs w:val="19"/>
              </w:rPr>
              <w:t xml:space="preserve">0.282</w:t>
            </w:r>
          </w:p>
        </w:tc>
        <w:tc>
          <w:tcPr>
            <w:tcW w:type="dxa" w:w="1560"/>
            <w:shd w:fill="F2F2F2" w:val="clear"/>
          </w:tcPr>
          <w:p>
            <w:pPr>
              <w:jc w:val="center"/>
            </w:pPr>
            <w:r>
              <w:rPr>
                <w:b w:val="false"/>
                <w:bCs w:val="false"/>
                <w:sz w:val="19"/>
                <w:szCs w:val="19"/>
              </w:rPr>
              <w:t xml:space="preserve">&lt;0.001 ***</w:t>
            </w:r>
          </w:p>
        </w:tc>
        <w:tc>
          <w:tcPr>
            <w:tcW w:type="dxa" w:w="1400"/>
            <w:shd w:fill="F2F2F2" w:val="clear"/>
          </w:tcPr>
          <w:p>
            <w:pPr>
              <w:jc w:val="center"/>
            </w:pPr>
            <w:r>
              <w:rPr>
                <w:b w:val="false"/>
                <w:bCs w:val="false"/>
                <w:sz w:val="19"/>
                <w:szCs w:val="19"/>
              </w:rPr>
              <w:t xml:space="preserve">−0.61</w:t>
            </w:r>
          </w:p>
        </w:tc>
        <w:tc>
          <w:tcPr>
            <w:tcW w:type="dxa" w:w="1800"/>
            <w:shd w:fill="F2F2F2" w:val="clear"/>
          </w:tcPr>
          <w:p>
            <w:pPr>
              <w:jc w:val="center"/>
            </w:pPr>
            <w:r>
              <w:rPr>
                <w:b w:val="false"/>
                <w:bCs w:val="false"/>
                <w:sz w:val="19"/>
                <w:szCs w:val="19"/>
              </w:rPr>
              <w:t xml:space="preserve">B &gt; A ✓</w:t>
            </w:r>
          </w:p>
        </w:tc>
      </w:tr>
    </w:tbl>
    <w:p>
      <w:pPr>
        <w:spacing w:after="120" w:line="276"/>
        <w:jc w:val="both"/>
      </w:pPr>
      <w:r>
        <w:rPr>
          <w:sz w:val="22"/>
          <w:szCs w:val="22"/>
        </w:rPr>
        <w:t xml:space="preserve">El tamaño de efecto (Cohen's d), calculado sobre el Corpus B canónico (N_B=80, N_A=819), precisa la naturaleza de la brecha discursiva. Los indicadores semánticos y de reconocimiento presentan los efectos más sustantivos: la distancia MAFAPO (y₈, d=1.39) es el discriminante más fuerte, seguida de la distancia CIDH (y₉, d=0.95) y la Ruptura Epistémica Positiva (y₁₀, d=0.61). El EBI discrimina en dirección inversa (d=−0.41) por su carácter citativo. En contraste, la Supresión de Agentividad (y₂, d=0.05, p=0.944 n.s.) es transversal al género jurídico, y la Negación de Victimización (y₄, d=0.01) presenta un efecto trivial pese a su significancia nominal. La transición discursiva se manifiesta, por tanto, en la cercanía semántica al lenguaje de las víctimas y en el reconocimiento, no en los mecanismos gramaticales de encubrimiento.</w:t>
      </w:r>
    </w:p>
    <w:p>
      <w:pPr>
        <w:pStyle w:val="Heading2"/>
        <w:spacing w:after="100" w:before="200"/>
      </w:pPr>
      <w:r>
        <w:rPr>
          <w:b/>
          <w:bCs/>
          <w:color w:val="1F3864"/>
          <w:sz w:val="26"/>
          <w:szCs w:val="26"/>
        </w:rPr>
        <w:t xml:space="preserve">5.7 Control temporal y análisis de senderos</w:t>
      </w:r>
    </w:p>
    <w:p>
      <w:pPr>
        <w:pStyle w:val="Heading3"/>
        <w:spacing w:after="80" w:before="160"/>
      </w:pPr>
      <w:r>
        <w:rPr>
          <w:b/>
          <w:bCs/>
          <w:color w:val="1F3864"/>
          <w:sz w:val="23"/>
          <w:szCs w:val="23"/>
        </w:rPr>
        <w:t xml:space="preserve">5.7.1 Control temporal</w:t>
      </w:r>
    </w:p>
    <w:p>
      <w:pPr>
        <w:spacing w:after="60" w:before="60"/>
      </w:pPr>
      <w:r>
        <w:rPr>
          <w:i/>
          <w:iCs/>
          <w:color w:val="595959"/>
          <w:sz w:val="19"/>
          <w:szCs w:val="19"/>
        </w:rPr>
        <w:t xml:space="preserve">Tabla 5.6. Control temporal — Corpus A restringido al período 2018-2023 vs Corpus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1500"/>
        <w:gridCol w:w="1560"/>
        <w:gridCol w:w="2200"/>
      </w:tblGrid>
      <w:tr>
        <w:trPr>
          <w:tblHeader/>
        </w:trPr>
        <w:tc>
          <w:tcPr>
            <w:tcW w:type="dxa" w:w="2200"/>
            <w:shd w:fill="1F3864" w:val="clear"/>
          </w:tcPr>
          <w:p>
            <w:pPr>
              <w:jc w:val="center"/>
            </w:pPr>
            <w:r>
              <w:rPr>
                <w:b/>
                <w:bCs/>
                <w:color w:val="FFFFFF"/>
                <w:sz w:val="19"/>
                <w:szCs w:val="19"/>
              </w:rPr>
              <w:t xml:space="preserve">Indicador</w:t>
            </w:r>
          </w:p>
        </w:tc>
        <w:tc>
          <w:tcPr>
            <w:tcW w:type="dxa" w:w="1900"/>
            <w:shd w:fill="1F3864" w:val="clear"/>
          </w:tcPr>
          <w:p>
            <w:pPr>
              <w:jc w:val="center"/>
            </w:pPr>
            <w:r>
              <w:rPr>
                <w:b/>
                <w:bCs/>
                <w:color w:val="FFFFFF"/>
                <w:sz w:val="19"/>
                <w:szCs w:val="19"/>
              </w:rPr>
              <w:t xml:space="preserve">A 2018-2023</w:t>
            </w:r>
          </w:p>
        </w:tc>
        <w:tc>
          <w:tcPr>
            <w:tcW w:type="dxa" w:w="1500"/>
            <w:shd w:fill="1F3864" w:val="clear"/>
          </w:tcPr>
          <w:p>
            <w:pPr>
              <w:jc w:val="center"/>
            </w:pPr>
            <w:r>
              <w:rPr>
                <w:b/>
                <w:bCs/>
                <w:color w:val="FFFFFF"/>
                <w:sz w:val="19"/>
                <w:szCs w:val="19"/>
              </w:rPr>
              <w:t xml:space="preserve">Corpus B</w:t>
            </w:r>
          </w:p>
        </w:tc>
        <w:tc>
          <w:tcPr>
            <w:tcW w:type="dxa" w:w="1560"/>
            <w:shd w:fill="1F3864" w:val="clear"/>
          </w:tcPr>
          <w:p>
            <w:pPr>
              <w:jc w:val="center"/>
            </w:pPr>
            <w:r>
              <w:rPr>
                <w:b/>
                <w:bCs/>
                <w:color w:val="FFFFFF"/>
                <w:sz w:val="19"/>
                <w:szCs w:val="19"/>
              </w:rPr>
              <w:t xml:space="preserve">p-valor</w:t>
            </w:r>
          </w:p>
        </w:tc>
        <w:tc>
          <w:tcPr>
            <w:tcW w:type="dxa" w:w="2200"/>
            <w:shd w:fill="1F3864" w:val="clear"/>
          </w:tcPr>
          <w:p>
            <w:pPr>
              <w:jc w:val="center"/>
            </w:pPr>
            <w:r>
              <w:rPr>
                <w:b/>
                <w:bCs/>
                <w:color w:val="FFFFFF"/>
                <w:sz w:val="19"/>
                <w:szCs w:val="19"/>
              </w:rPr>
              <w:t xml:space="preserve">Interpretación</w:t>
            </w:r>
          </w:p>
        </w:tc>
      </w:tr>
      <w:tr>
        <w:tc>
          <w:tcPr>
            <w:tcW w:type="dxa" w:w="2200"/>
            <w:shd w:fill="FFFFFF" w:val="clear"/>
          </w:tcPr>
          <w:p>
            <w:pPr>
              <w:jc w:val="left"/>
            </w:pPr>
            <w:r>
              <w:rPr>
                <w:b/>
                <w:bCs/>
                <w:sz w:val="19"/>
                <w:szCs w:val="19"/>
              </w:rPr>
              <w:t xml:space="preserve">y₁₀ REP</w:t>
            </w:r>
          </w:p>
        </w:tc>
        <w:tc>
          <w:tcPr>
            <w:tcW w:type="dxa" w:w="1900"/>
            <w:shd w:fill="FFFFFF" w:val="clear"/>
          </w:tcPr>
          <w:p>
            <w:pPr>
              <w:jc w:val="center"/>
            </w:pPr>
            <w:r>
              <w:rPr>
                <w:b w:val="false"/>
                <w:bCs w:val="false"/>
                <w:sz w:val="19"/>
                <w:szCs w:val="19"/>
              </w:rPr>
              <w:t xml:space="preserve">0.147</w:t>
            </w:r>
          </w:p>
        </w:tc>
        <w:tc>
          <w:tcPr>
            <w:tcW w:type="dxa" w:w="1500"/>
            <w:shd w:fill="FFFFFF" w:val="clear"/>
          </w:tcPr>
          <w:p>
            <w:pPr>
              <w:jc w:val="center"/>
            </w:pPr>
            <w:r>
              <w:rPr>
                <w:b w:val="false"/>
                <w:bCs w:val="false"/>
                <w:sz w:val="19"/>
                <w:szCs w:val="19"/>
              </w:rPr>
              <w:t xml:space="preserve">0.282</w:t>
            </w:r>
          </w:p>
        </w:tc>
        <w:tc>
          <w:tcPr>
            <w:tcW w:type="dxa" w:w="1560"/>
            <w:shd w:fill="FFFFFF" w:val="clear"/>
          </w:tcPr>
          <w:p>
            <w:pPr>
              <w:jc w:val="center"/>
            </w:pPr>
            <w:r>
              <w:rPr>
                <w:b w:val="false"/>
                <w:bCs w:val="false"/>
                <w:sz w:val="19"/>
                <w:szCs w:val="19"/>
              </w:rPr>
              <w:t xml:space="preserve">&lt;0.001 ***</w:t>
            </w:r>
          </w:p>
        </w:tc>
        <w:tc>
          <w:tcPr>
            <w:tcW w:type="dxa" w:w="2200"/>
            <w:shd w:fill="FFFFFF" w:val="clear"/>
          </w:tcPr>
          <w:p>
            <w:pPr>
              <w:jc w:val="center"/>
            </w:pPr>
            <w:r>
              <w:rPr>
                <w:b w:val="false"/>
                <w:bCs w:val="false"/>
                <w:sz w:val="19"/>
                <w:szCs w:val="19"/>
              </w:rPr>
              <w:t xml:space="preserve">Brecha estructural ✓</w:t>
            </w:r>
          </w:p>
        </w:tc>
      </w:tr>
      <w:tr>
        <w:tc>
          <w:tcPr>
            <w:tcW w:type="dxa" w:w="2200"/>
            <w:shd w:fill="F2F2F2" w:val="clear"/>
          </w:tcPr>
          <w:p>
            <w:pPr>
              <w:jc w:val="left"/>
            </w:pPr>
            <w:r>
              <w:rPr>
                <w:b/>
                <w:bCs/>
                <w:sz w:val="19"/>
                <w:szCs w:val="19"/>
              </w:rPr>
              <w:t xml:space="preserve">y₈ Dist. MAFAPO</w:t>
            </w:r>
          </w:p>
        </w:tc>
        <w:tc>
          <w:tcPr>
            <w:tcW w:type="dxa" w:w="1900"/>
            <w:shd w:fill="F2F2F2" w:val="clear"/>
          </w:tcPr>
          <w:p>
            <w:pPr>
              <w:jc w:val="center"/>
            </w:pPr>
            <w:r>
              <w:rPr>
                <w:b w:val="false"/>
                <w:bCs w:val="false"/>
                <w:sz w:val="19"/>
                <w:szCs w:val="19"/>
              </w:rPr>
              <w:t xml:space="preserve">0.217</w:t>
            </w:r>
          </w:p>
        </w:tc>
        <w:tc>
          <w:tcPr>
            <w:tcW w:type="dxa" w:w="1500"/>
            <w:shd w:fill="F2F2F2" w:val="clear"/>
          </w:tcPr>
          <w:p>
            <w:pPr>
              <w:jc w:val="center"/>
            </w:pPr>
            <w:r>
              <w:rPr>
                <w:b w:val="false"/>
                <w:bCs w:val="false"/>
                <w:sz w:val="19"/>
                <w:szCs w:val="19"/>
              </w:rPr>
              <w:t xml:space="preserve">0.155</w:t>
            </w:r>
          </w:p>
        </w:tc>
        <w:tc>
          <w:tcPr>
            <w:tcW w:type="dxa" w:w="1560"/>
            <w:shd w:fill="F2F2F2" w:val="clear"/>
          </w:tcPr>
          <w:p>
            <w:pPr>
              <w:jc w:val="center"/>
            </w:pPr>
            <w:r>
              <w:rPr>
                <w:b w:val="false"/>
                <w:bCs w:val="false"/>
                <w:sz w:val="19"/>
                <w:szCs w:val="19"/>
              </w:rPr>
              <w:t xml:space="preserve">&lt;0.001 ***</w:t>
            </w:r>
          </w:p>
        </w:tc>
        <w:tc>
          <w:tcPr>
            <w:tcW w:type="dxa" w:w="2200"/>
            <w:shd w:fill="F2F2F2" w:val="clear"/>
          </w:tcPr>
          <w:p>
            <w:pPr>
              <w:jc w:val="center"/>
            </w:pPr>
            <w:r>
              <w:rPr>
                <w:b w:val="false"/>
                <w:bCs w:val="false"/>
                <w:sz w:val="19"/>
                <w:szCs w:val="19"/>
              </w:rPr>
              <w:t xml:space="preserve">Brecha estructural ✓</w:t>
            </w:r>
          </w:p>
        </w:tc>
      </w:tr>
      <w:tr>
        <w:tc>
          <w:tcPr>
            <w:tcW w:type="dxa" w:w="2200"/>
            <w:shd w:fill="FFFFFF" w:val="clear"/>
          </w:tcPr>
          <w:p>
            <w:pPr>
              <w:jc w:val="left"/>
            </w:pPr>
            <w:r>
              <w:rPr>
                <w:b/>
                <w:bCs/>
                <w:sz w:val="19"/>
                <w:szCs w:val="19"/>
              </w:rPr>
              <w:t xml:space="preserve">y₉ Dist. CIDH</w:t>
            </w:r>
          </w:p>
        </w:tc>
        <w:tc>
          <w:tcPr>
            <w:tcW w:type="dxa" w:w="1900"/>
            <w:shd w:fill="FFFFFF" w:val="clear"/>
          </w:tcPr>
          <w:p>
            <w:pPr>
              <w:jc w:val="center"/>
            </w:pPr>
            <w:r>
              <w:rPr>
                <w:b w:val="false"/>
                <w:bCs w:val="false"/>
                <w:sz w:val="19"/>
                <w:szCs w:val="19"/>
              </w:rPr>
              <w:t xml:space="preserve">0.261</w:t>
            </w:r>
          </w:p>
        </w:tc>
        <w:tc>
          <w:tcPr>
            <w:tcW w:type="dxa" w:w="1500"/>
            <w:shd w:fill="FFFFFF" w:val="clear"/>
          </w:tcPr>
          <w:p>
            <w:pPr>
              <w:jc w:val="center"/>
            </w:pPr>
            <w:r>
              <w:rPr>
                <w:b w:val="false"/>
                <w:bCs w:val="false"/>
                <w:sz w:val="19"/>
                <w:szCs w:val="19"/>
              </w:rPr>
              <w:t xml:space="preserve">0.217</w:t>
            </w:r>
          </w:p>
        </w:tc>
        <w:tc>
          <w:tcPr>
            <w:tcW w:type="dxa" w:w="1560"/>
            <w:shd w:fill="FFFFFF" w:val="clear"/>
          </w:tcPr>
          <w:p>
            <w:pPr>
              <w:jc w:val="center"/>
            </w:pPr>
            <w:r>
              <w:rPr>
                <w:b w:val="false"/>
                <w:bCs w:val="false"/>
                <w:sz w:val="19"/>
                <w:szCs w:val="19"/>
              </w:rPr>
              <w:t xml:space="preserve">&lt;0.001 ***</w:t>
            </w:r>
          </w:p>
        </w:tc>
        <w:tc>
          <w:tcPr>
            <w:tcW w:type="dxa" w:w="2200"/>
            <w:shd w:fill="FFFFFF" w:val="clear"/>
          </w:tcPr>
          <w:p>
            <w:pPr>
              <w:jc w:val="center"/>
            </w:pPr>
            <w:r>
              <w:rPr>
                <w:b w:val="false"/>
                <w:bCs w:val="false"/>
                <w:sz w:val="19"/>
                <w:szCs w:val="19"/>
              </w:rPr>
              <w:t xml:space="preserve">Brecha estructural ✓</w:t>
            </w:r>
          </w:p>
        </w:tc>
      </w:tr>
    </w:tbl>
    <w:p>
      <w:pPr>
        <w:spacing w:after="120" w:line="276"/>
        <w:jc w:val="both"/>
      </w:pPr>
      <w:r>
        <w:rPr>
          <w:sz w:val="22"/>
          <w:szCs w:val="22"/>
        </w:rPr>
        <w:t xml:space="preserve">Al restringir el Corpus A al mismo período histórico del Corpus B (2018-2023), la brecha en los indicadores semánticos (y₈, y₉) y en el reconocimiento (y₁₀) persiste con p&lt;0.001. Esto confirma que la cercanía al lenguaje de las víctimas y del derecho internacional es una diferencia estructural entre los sistemas de justicia, no un artefacto de la evolución temporal del lenguaje jurídico colombiano.</w:t>
      </w:r>
    </w:p>
    <w:p>
      <w:pPr>
        <w:pStyle w:val="Heading3"/>
        <w:spacing w:after="80" w:before="160"/>
      </w:pPr>
      <w:r>
        <w:rPr>
          <w:b/>
          <w:bCs/>
          <w:color w:val="1F3864"/>
          <w:sz w:val="23"/>
          <w:szCs w:val="23"/>
        </w:rPr>
        <w:t xml:space="preserve">5.7.2 Análisis de senderos exploratorio</w:t>
      </w:r>
    </w:p>
    <w:p>
      <w:pPr>
        <w:spacing w:after="120" w:line="276"/>
        <w:jc w:val="both"/>
      </w:pPr>
      <w:r>
        <w:rPr>
          <w:sz w:val="22"/>
          <w:szCs w:val="22"/>
        </w:rPr>
        <w:t xml:space="preserve">El análisis de senderos sobre los indicadores individuales identifica la distancia semántica al lenguaje de las víctimas (y₈, centroide MAFAPO) como el predictor central de la transición epistémica. La regresión de la Ruptura Epistémica Positiva (y₁₀) sobre los indicadores de injusticia arroja un coeficiente robusto y consistente en dos universos independientes: β=−0.679 (p=0.047) en el Corpus C (n=47) y β=−0.597 (p&lt;0.001) en el análisis tri-corpus (n=946). El signo negativo indica que cuanto mayor es la distancia del discurso respecto al lenguaje de las víctimas, menor es la ruptura epistémica positiva: la adopción del vocabulario y la estructura semántica de las víctimas —más que la reducción de los mecanismos de encubrimiento— es el mecanismo central de la transición discursiva. Este hallazgo, que emerge nítidamente a nivel de indicador aunque queda atenuado al agregarse en el índice IEI, respalda por vía estructural la hipótesis central del framework: la injusticia epistémica se asocia inversamente con la capacidad de transición reparadora.</w:t>
      </w:r>
    </w:p>
    <w:p>
      <w:pPr>
        <w:spacing w:after="120" w:line="276"/>
        <w:jc w:val="both"/>
      </w:pPr>
      <w:r>
        <w:rPr>
          <w:sz w:val="22"/>
          <w:szCs w:val="22"/>
        </w:rPr>
        <w:t xml:space="preserve">Nota metodológica: el análisis de senderos se realiza sobre los indicadores del pipeline depurado; el antiguo indicador de distancia léxico-civil (y₃) fue descartado por carecer de varianza suficiente y no estar definido en el Corpus C oral. El coeficiente y₈→y₁₀ lo sustituye conservando —y reforzando— el mensaje teórico. Dado el tamaño muestral del Corpus C (n=47), este análisis se reporta como exploratorio.</w:t>
      </w:r>
    </w:p>
    <w:p>
      <w:pPr>
        <w:pStyle w:val="Heading2"/>
        <w:spacing w:after="100" w:before="200"/>
      </w:pPr>
      <w:r>
        <w:rPr>
          <w:b/>
          <w:bCs/>
          <w:color w:val="1F3864"/>
          <w:sz w:val="26"/>
          <w:szCs w:val="26"/>
        </w:rPr>
        <w:t xml:space="preserve">5.8 Capa 3 — Diarización y análisis semántico Corpus C</w:t>
      </w:r>
    </w:p>
    <w:p>
      <w:pPr>
        <w:spacing w:after="60" w:before="60"/>
      </w:pPr>
      <w:r>
        <w:rPr>
          <w:i/>
          <w:iCs/>
          <w:color w:val="595959"/>
          <w:sz w:val="19"/>
          <w:szCs w:val="19"/>
        </w:rPr>
        <w:t xml:space="preserve">Tabla 5.7. Corpus C — resultados semánticos por subcaso. y₈ y y₉ calculados con ConfliBERT-Spanish sobre 588 bloques.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1600"/>
        <w:gridCol w:w="2060"/>
        <w:gridCol w:w="2000"/>
      </w:tblGrid>
      <w:tr>
        <w:trPr>
          <w:tblHeader/>
        </w:trPr>
        <w:tc>
          <w:tcPr>
            <w:tcW w:type="dxa" w:w="2400"/>
            <w:shd w:fill="1F3864" w:val="clear"/>
          </w:tcPr>
          <w:p>
            <w:pPr>
              <w:jc w:val="center"/>
            </w:pPr>
            <w:r>
              <w:rPr>
                <w:b/>
                <w:bCs/>
                <w:color w:val="FFFFFF"/>
                <w:sz w:val="19"/>
                <w:szCs w:val="19"/>
              </w:rPr>
              <w:t xml:space="preserve">Audiencia</w:t>
            </w:r>
          </w:p>
        </w:tc>
        <w:tc>
          <w:tcPr>
            <w:tcW w:type="dxa" w:w="1300"/>
            <w:shd w:fill="1F3864" w:val="clear"/>
          </w:tcPr>
          <w:p>
            <w:pPr>
              <w:jc w:val="center"/>
            </w:pPr>
            <w:r>
              <w:rPr>
                <w:b/>
                <w:bCs/>
                <w:color w:val="FFFFFF"/>
                <w:sz w:val="19"/>
                <w:szCs w:val="19"/>
              </w:rPr>
              <w:t xml:space="preserve">Dur.</w:t>
            </w:r>
          </w:p>
        </w:tc>
        <w:tc>
          <w:tcPr>
            <w:tcW w:type="dxa" w:w="1600"/>
            <w:shd w:fill="1F3864" w:val="clear"/>
          </w:tcPr>
          <w:p>
            <w:pPr>
              <w:jc w:val="center"/>
            </w:pPr>
            <w:r>
              <w:rPr>
                <w:b/>
                <w:bCs/>
                <w:color w:val="FFFFFF"/>
                <w:sz w:val="19"/>
                <w:szCs w:val="19"/>
              </w:rPr>
              <w:t xml:space="preserve">Bloques</w:t>
            </w:r>
          </w:p>
        </w:tc>
        <w:tc>
          <w:tcPr>
            <w:tcW w:type="dxa" w:w="2060"/>
            <w:shd w:fill="1F3864" w:val="clear"/>
          </w:tcPr>
          <w:p>
            <w:pPr>
              <w:jc w:val="center"/>
            </w:pPr>
            <w:r>
              <w:rPr>
                <w:b/>
                <w:bCs/>
                <w:color w:val="FFFFFF"/>
                <w:sz w:val="19"/>
                <w:szCs w:val="19"/>
              </w:rPr>
              <w:t xml:space="preserve">y₈ MAFAPO</w:t>
            </w:r>
          </w:p>
        </w:tc>
        <w:tc>
          <w:tcPr>
            <w:tcW w:type="dxa" w:w="2000"/>
            <w:shd w:fill="1F3864" w:val="clear"/>
          </w:tcPr>
          <w:p>
            <w:pPr>
              <w:jc w:val="center"/>
            </w:pPr>
            <w:r>
              <w:rPr>
                <w:b/>
                <w:bCs/>
                <w:color w:val="FFFFFF"/>
                <w:sz w:val="19"/>
                <w:szCs w:val="19"/>
              </w:rPr>
              <w:t xml:space="preserve">y₉ CIDH</w:t>
            </w:r>
          </w:p>
        </w:tc>
      </w:tr>
      <w:tr>
        <w:tc>
          <w:tcPr>
            <w:tcW w:type="dxa" w:w="2400"/>
            <w:shd w:fill="FFFFFF" w:val="clear"/>
          </w:tcPr>
          <w:p>
            <w:pPr>
              <w:jc w:val="left"/>
            </w:pPr>
            <w:r>
              <w:rPr>
                <w:b/>
                <w:bCs/>
                <w:sz w:val="19"/>
                <w:szCs w:val="19"/>
              </w:rPr>
              <w:t xml:space="preserve">Catatumbo</w:t>
            </w:r>
          </w:p>
        </w:tc>
        <w:tc>
          <w:tcPr>
            <w:tcW w:type="dxa" w:w="1300"/>
            <w:shd w:fill="FFFFFF" w:val="clear"/>
          </w:tcPr>
          <w:p>
            <w:pPr>
              <w:jc w:val="center"/>
            </w:pPr>
            <w:r>
              <w:rPr>
                <w:b w:val="false"/>
                <w:bCs w:val="false"/>
                <w:sz w:val="19"/>
                <w:szCs w:val="19"/>
              </w:rPr>
              <w:t xml:space="preserve">9.5h</w:t>
            </w:r>
          </w:p>
        </w:tc>
        <w:tc>
          <w:tcPr>
            <w:tcW w:type="dxa" w:w="1600"/>
            <w:shd w:fill="FFFFFF" w:val="clear"/>
          </w:tcPr>
          <w:p>
            <w:pPr>
              <w:jc w:val="center"/>
            </w:pPr>
            <w:r>
              <w:rPr>
                <w:b w:val="false"/>
                <w:bCs w:val="false"/>
                <w:sz w:val="19"/>
                <w:szCs w:val="19"/>
              </w:rPr>
              <w:t xml:space="preserve">58</w:t>
            </w:r>
          </w:p>
        </w:tc>
        <w:tc>
          <w:tcPr>
            <w:tcW w:type="dxa" w:w="2060"/>
            <w:shd w:fill="FFFFFF" w:val="clear"/>
          </w:tcPr>
          <w:p>
            <w:pPr>
              <w:jc w:val="center"/>
            </w:pPr>
            <w:r>
              <w:rPr>
                <w:b w:val="false"/>
                <w:bCs w:val="false"/>
                <w:sz w:val="19"/>
                <w:szCs w:val="19"/>
              </w:rPr>
              <w:t xml:space="preserve">0.179</w:t>
            </w:r>
          </w:p>
        </w:tc>
        <w:tc>
          <w:tcPr>
            <w:tcW w:type="dxa" w:w="2000"/>
            <w:shd w:fill="FFFFFF" w:val="clear"/>
          </w:tcPr>
          <w:p>
            <w:pPr>
              <w:jc w:val="center"/>
            </w:pPr>
            <w:r>
              <w:rPr>
                <w:b w:val="false"/>
                <w:bCs w:val="false"/>
                <w:sz w:val="19"/>
                <w:szCs w:val="19"/>
              </w:rPr>
              <w:t xml:space="preserve">0.271</w:t>
            </w:r>
          </w:p>
        </w:tc>
      </w:tr>
      <w:tr>
        <w:tc>
          <w:tcPr>
            <w:tcW w:type="dxa" w:w="2400"/>
            <w:shd w:fill="F2F2F2" w:val="clear"/>
          </w:tcPr>
          <w:p>
            <w:pPr>
              <w:jc w:val="left"/>
            </w:pPr>
            <w:r>
              <w:rPr>
                <w:b/>
                <w:bCs/>
                <w:sz w:val="19"/>
                <w:szCs w:val="19"/>
              </w:rPr>
              <w:t xml:space="preserve">Costa Caribe</w:t>
            </w:r>
          </w:p>
        </w:tc>
        <w:tc>
          <w:tcPr>
            <w:tcW w:type="dxa" w:w="1300"/>
            <w:shd w:fill="F2F2F2" w:val="clear"/>
          </w:tcPr>
          <w:p>
            <w:pPr>
              <w:jc w:val="center"/>
            </w:pPr>
            <w:r>
              <w:rPr>
                <w:b w:val="false"/>
                <w:bCs w:val="false"/>
                <w:sz w:val="19"/>
                <w:szCs w:val="19"/>
              </w:rPr>
              <w:t xml:space="preserve">10.5h</w:t>
            </w:r>
          </w:p>
        </w:tc>
        <w:tc>
          <w:tcPr>
            <w:tcW w:type="dxa" w:w="1600"/>
            <w:shd w:fill="F2F2F2" w:val="clear"/>
          </w:tcPr>
          <w:p>
            <w:pPr>
              <w:jc w:val="center"/>
            </w:pPr>
            <w:r>
              <w:rPr>
                <w:b w:val="false"/>
                <w:bCs w:val="false"/>
                <w:sz w:val="19"/>
                <w:szCs w:val="19"/>
              </w:rPr>
              <w:t xml:space="preserve">128</w:t>
            </w:r>
          </w:p>
        </w:tc>
        <w:tc>
          <w:tcPr>
            <w:tcW w:type="dxa" w:w="2060"/>
            <w:shd w:fill="F2F2F2" w:val="clear"/>
          </w:tcPr>
          <w:p>
            <w:pPr>
              <w:jc w:val="center"/>
            </w:pPr>
            <w:r>
              <w:rPr>
                <w:b w:val="false"/>
                <w:bCs w:val="false"/>
                <w:sz w:val="19"/>
                <w:szCs w:val="19"/>
              </w:rPr>
              <w:t xml:space="preserve">0.165</w:t>
            </w:r>
          </w:p>
        </w:tc>
        <w:tc>
          <w:tcPr>
            <w:tcW w:type="dxa" w:w="2000"/>
            <w:shd w:fill="F2F2F2" w:val="clear"/>
          </w:tcPr>
          <w:p>
            <w:pPr>
              <w:jc w:val="center"/>
            </w:pPr>
            <w:r>
              <w:rPr>
                <w:b w:val="false"/>
                <w:bCs w:val="false"/>
                <w:sz w:val="19"/>
                <w:szCs w:val="19"/>
              </w:rPr>
              <w:t xml:space="preserve">0.259</w:t>
            </w:r>
          </w:p>
        </w:tc>
      </w:tr>
      <w:tr>
        <w:tc>
          <w:tcPr>
            <w:tcW w:type="dxa" w:w="2400"/>
            <w:shd w:fill="FFFFFF" w:val="clear"/>
          </w:tcPr>
          <w:p>
            <w:pPr>
              <w:jc w:val="left"/>
            </w:pPr>
            <w:r>
              <w:rPr>
                <w:b/>
                <w:bCs/>
                <w:sz w:val="19"/>
                <w:szCs w:val="19"/>
              </w:rPr>
              <w:t xml:space="preserve">Casanare</w:t>
            </w:r>
          </w:p>
        </w:tc>
        <w:tc>
          <w:tcPr>
            <w:tcW w:type="dxa" w:w="1300"/>
            <w:shd w:fill="FFFFFF" w:val="clear"/>
          </w:tcPr>
          <w:p>
            <w:pPr>
              <w:jc w:val="center"/>
            </w:pPr>
            <w:r>
              <w:rPr>
                <w:b w:val="false"/>
                <w:bCs w:val="false"/>
                <w:sz w:val="19"/>
                <w:szCs w:val="19"/>
              </w:rPr>
              <w:t xml:space="preserve">5.3h</w:t>
            </w:r>
          </w:p>
        </w:tc>
        <w:tc>
          <w:tcPr>
            <w:tcW w:type="dxa" w:w="1600"/>
            <w:shd w:fill="FFFFFF" w:val="clear"/>
          </w:tcPr>
          <w:p>
            <w:pPr>
              <w:jc w:val="center"/>
            </w:pPr>
            <w:r>
              <w:rPr>
                <w:b w:val="false"/>
                <w:bCs w:val="false"/>
                <w:sz w:val="19"/>
                <w:szCs w:val="19"/>
              </w:rPr>
              <w:t xml:space="preserve">124</w:t>
            </w:r>
          </w:p>
        </w:tc>
        <w:tc>
          <w:tcPr>
            <w:tcW w:type="dxa" w:w="2060"/>
            <w:shd w:fill="FFFFFF" w:val="clear"/>
          </w:tcPr>
          <w:p>
            <w:pPr>
              <w:jc w:val="center"/>
            </w:pPr>
            <w:r>
              <w:rPr>
                <w:b w:val="false"/>
                <w:bCs w:val="false"/>
                <w:sz w:val="19"/>
                <w:szCs w:val="19"/>
              </w:rPr>
              <w:t xml:space="preserve">0.166</w:t>
            </w:r>
          </w:p>
        </w:tc>
        <w:tc>
          <w:tcPr>
            <w:tcW w:type="dxa" w:w="2000"/>
            <w:shd w:fill="FFFFFF" w:val="clear"/>
          </w:tcPr>
          <w:p>
            <w:pPr>
              <w:jc w:val="center"/>
            </w:pPr>
            <w:r>
              <w:rPr>
                <w:b w:val="false"/>
                <w:bCs w:val="false"/>
                <w:sz w:val="19"/>
                <w:szCs w:val="19"/>
              </w:rPr>
              <w:t xml:space="preserve">0.264</w:t>
            </w:r>
          </w:p>
        </w:tc>
      </w:tr>
      <w:tr>
        <w:tc>
          <w:tcPr>
            <w:tcW w:type="dxa" w:w="2400"/>
            <w:shd w:fill="F2F2F2" w:val="clear"/>
          </w:tcPr>
          <w:p>
            <w:pPr>
              <w:jc w:val="left"/>
            </w:pPr>
            <w:r>
              <w:rPr>
                <w:b/>
                <w:bCs/>
                <w:sz w:val="19"/>
                <w:szCs w:val="19"/>
              </w:rPr>
              <w:t xml:space="preserve">Dabeiba</w:t>
            </w:r>
          </w:p>
        </w:tc>
        <w:tc>
          <w:tcPr>
            <w:tcW w:type="dxa" w:w="1300"/>
            <w:shd w:fill="F2F2F2" w:val="clear"/>
          </w:tcPr>
          <w:p>
            <w:pPr>
              <w:jc w:val="center"/>
            </w:pPr>
            <w:r>
              <w:rPr>
                <w:b w:val="false"/>
                <w:bCs w:val="false"/>
                <w:sz w:val="19"/>
                <w:szCs w:val="19"/>
              </w:rPr>
              <w:t xml:space="preserve">2.3h</w:t>
            </w:r>
          </w:p>
        </w:tc>
        <w:tc>
          <w:tcPr>
            <w:tcW w:type="dxa" w:w="1600"/>
            <w:shd w:fill="F2F2F2" w:val="clear"/>
          </w:tcPr>
          <w:p>
            <w:pPr>
              <w:jc w:val="center"/>
            </w:pPr>
            <w:r>
              <w:rPr>
                <w:b w:val="false"/>
                <w:bCs w:val="false"/>
                <w:sz w:val="19"/>
                <w:szCs w:val="19"/>
              </w:rPr>
              <w:t xml:space="preserve">144</w:t>
            </w:r>
          </w:p>
        </w:tc>
        <w:tc>
          <w:tcPr>
            <w:tcW w:type="dxa" w:w="2060"/>
            <w:shd w:fill="F2F2F2" w:val="clear"/>
          </w:tcPr>
          <w:p>
            <w:pPr>
              <w:jc w:val="center"/>
            </w:pPr>
            <w:r>
              <w:rPr>
                <w:b w:val="false"/>
                <w:bCs w:val="false"/>
                <w:sz w:val="19"/>
                <w:szCs w:val="19"/>
              </w:rPr>
              <w:t xml:space="preserve">0.158</w:t>
            </w:r>
          </w:p>
        </w:tc>
        <w:tc>
          <w:tcPr>
            <w:tcW w:type="dxa" w:w="2000"/>
            <w:shd w:fill="F2F2F2" w:val="clear"/>
          </w:tcPr>
          <w:p>
            <w:pPr>
              <w:jc w:val="center"/>
            </w:pPr>
            <w:r>
              <w:rPr>
                <w:b w:val="false"/>
                <w:bCs w:val="false"/>
                <w:sz w:val="19"/>
                <w:szCs w:val="19"/>
              </w:rPr>
              <w:t xml:space="preserve">0.262</w:t>
            </w:r>
          </w:p>
        </w:tc>
      </w:tr>
      <w:tr>
        <w:tc>
          <w:tcPr>
            <w:tcW w:type="dxa" w:w="2400"/>
            <w:shd w:fill="FFFFFF" w:val="clear"/>
          </w:tcPr>
          <w:p>
            <w:pPr>
              <w:jc w:val="left"/>
            </w:pPr>
            <w:r>
              <w:rPr>
                <w:b/>
                <w:bCs/>
                <w:sz w:val="19"/>
                <w:szCs w:val="19"/>
              </w:rPr>
              <w:t xml:space="preserve">Huila</w:t>
            </w:r>
          </w:p>
        </w:tc>
        <w:tc>
          <w:tcPr>
            <w:tcW w:type="dxa" w:w="1300"/>
            <w:shd w:fill="FFFFFF" w:val="clear"/>
          </w:tcPr>
          <w:p>
            <w:pPr>
              <w:jc w:val="center"/>
            </w:pPr>
            <w:r>
              <w:rPr>
                <w:b w:val="false"/>
                <w:bCs w:val="false"/>
                <w:sz w:val="19"/>
                <w:szCs w:val="19"/>
              </w:rPr>
              <w:t xml:space="preserve">10.5h</w:t>
            </w:r>
          </w:p>
        </w:tc>
        <w:tc>
          <w:tcPr>
            <w:tcW w:type="dxa" w:w="1600"/>
            <w:shd w:fill="FFFFFF" w:val="clear"/>
          </w:tcPr>
          <w:p>
            <w:pPr>
              <w:jc w:val="center"/>
            </w:pPr>
            <w:r>
              <w:rPr>
                <w:b w:val="false"/>
                <w:bCs w:val="false"/>
                <w:sz w:val="19"/>
                <w:szCs w:val="19"/>
              </w:rPr>
              <w:t xml:space="preserve">134</w:t>
            </w:r>
          </w:p>
        </w:tc>
        <w:tc>
          <w:tcPr>
            <w:tcW w:type="dxa" w:w="2060"/>
            <w:shd w:fill="FFFFFF" w:val="clear"/>
          </w:tcPr>
          <w:p>
            <w:pPr>
              <w:jc w:val="center"/>
            </w:pPr>
            <w:r>
              <w:rPr>
                <w:b w:val="false"/>
                <w:bCs w:val="false"/>
                <w:sz w:val="19"/>
                <w:szCs w:val="19"/>
              </w:rPr>
              <w:t xml:space="preserve">0.154</w:t>
            </w:r>
          </w:p>
        </w:tc>
        <w:tc>
          <w:tcPr>
            <w:tcW w:type="dxa" w:w="2000"/>
            <w:shd w:fill="FFFFFF" w:val="clear"/>
          </w:tcPr>
          <w:p>
            <w:pPr>
              <w:jc w:val="center"/>
            </w:pPr>
            <w:r>
              <w:rPr>
                <w:b w:val="false"/>
                <w:bCs w:val="false"/>
                <w:sz w:val="19"/>
                <w:szCs w:val="19"/>
              </w:rPr>
              <w:t xml:space="preserve">0.263</w:t>
            </w:r>
          </w:p>
        </w:tc>
      </w:tr>
      <w:tr>
        <w:tc>
          <w:tcPr>
            <w:tcW w:type="dxa" w:w="2400"/>
            <w:shd w:fill="F2F2F2" w:val="clear"/>
          </w:tcPr>
          <w:p>
            <w:pPr>
              <w:jc w:val="left"/>
            </w:pPr>
            <w:r>
              <w:rPr>
                <w:b/>
                <w:bCs/>
                <w:sz w:val="19"/>
                <w:szCs w:val="19"/>
              </w:rPr>
              <w:t xml:space="preserve">Total C</w:t>
            </w:r>
          </w:p>
        </w:tc>
        <w:tc>
          <w:tcPr>
            <w:tcW w:type="dxa" w:w="1300"/>
            <w:shd w:fill="F2F2F2" w:val="clear"/>
          </w:tcPr>
          <w:p>
            <w:pPr>
              <w:jc w:val="center"/>
            </w:pPr>
            <w:r>
              <w:rPr>
                <w:b w:val="false"/>
                <w:bCs w:val="false"/>
                <w:sz w:val="19"/>
                <w:szCs w:val="19"/>
              </w:rPr>
              <w:t xml:space="preserve">38.1h</w:t>
            </w:r>
          </w:p>
        </w:tc>
        <w:tc>
          <w:tcPr>
            <w:tcW w:type="dxa" w:w="1600"/>
            <w:shd w:fill="F2F2F2" w:val="clear"/>
          </w:tcPr>
          <w:p>
            <w:pPr>
              <w:jc w:val="center"/>
            </w:pPr>
            <w:r>
              <w:rPr>
                <w:b w:val="false"/>
                <w:bCs w:val="false"/>
                <w:sz w:val="19"/>
                <w:szCs w:val="19"/>
              </w:rPr>
              <w:t xml:space="preserve">588</w:t>
            </w:r>
          </w:p>
        </w:tc>
        <w:tc>
          <w:tcPr>
            <w:tcW w:type="dxa" w:w="2060"/>
            <w:shd w:fill="F2F2F2" w:val="clear"/>
          </w:tcPr>
          <w:p>
            <w:pPr>
              <w:jc w:val="center"/>
            </w:pPr>
            <w:r>
              <w:rPr>
                <w:b w:val="false"/>
                <w:bCs w:val="false"/>
                <w:sz w:val="19"/>
                <w:szCs w:val="19"/>
              </w:rPr>
              <w:t xml:space="preserve">0.161</w:t>
            </w:r>
          </w:p>
        </w:tc>
        <w:tc>
          <w:tcPr>
            <w:tcW w:type="dxa" w:w="2000"/>
            <w:shd w:fill="F2F2F2" w:val="clear"/>
          </w:tcPr>
          <w:p>
            <w:pPr>
              <w:jc w:val="center"/>
            </w:pPr>
            <w:r>
              <w:rPr>
                <w:b w:val="false"/>
                <w:bCs w:val="false"/>
                <w:sz w:val="19"/>
                <w:szCs w:val="19"/>
              </w:rPr>
              <w:t xml:space="preserve">0.263</w:t>
            </w:r>
          </w:p>
        </w:tc>
      </w:tr>
    </w:tbl>
    <w:p>
      <w:pPr>
        <w:spacing w:after="120" w:line="276"/>
        <w:jc w:val="both"/>
      </w:pPr>
      <w:r>
        <w:rPr>
          <w:sz w:val="22"/>
          <w:szCs w:val="22"/>
        </w:rPr>
        <w:t xml:space="preserve">El análisis semántico del Corpus C revela diferencias entre subcasos. Huila (y₈=0.154) y Dabeiba (y₈=0.158) son los subcasos más cercanos semánticamente al lenguaje de las víctimas de MAFAPO, mientras que Catatumbo (y₈=0.179) es el más distante —coincidentemente el subcaso con mayor porcentaje de silencio en el audio. La media del Corpus C (y₈=0.161) es menor que la del Corpus B escrito, lo que indica que el lenguaje oral de las audiencias está, en promedio, aún más cercano al léxico de las víctimas que el escrito formal. Para y₉ CIDH, todos los subcasos están más alejados que el Corpus B, coherente con que los comparecientes hablan desde la experiencia vivida y no desde el lenguaje técnico-jurídico del DIH.</w:t>
      </w:r>
    </w:p>
    <w:p>
      <w:pPr>
        <w:pStyle w:val="Heading2"/>
        <w:spacing w:after="100" w:before="200"/>
      </w:pPr>
      <w:r>
        <w:rPr>
          <w:b/>
          <w:bCs/>
          <w:color w:val="1F3864"/>
          <w:sz w:val="26"/>
          <w:szCs w:val="26"/>
        </w:rPr>
        <w:t xml:space="preserve">5.9 Capa 3 — Canal facial: composición del distress y normalización</w:t>
      </w:r>
    </w:p>
    <w:p>
      <w:pPr>
        <w:spacing w:after="120" w:line="276"/>
        <w:jc w:val="both"/>
      </w:pPr>
      <w:r>
        <w:rPr>
          <w:b/>
          <w:bCs/>
          <w:sz w:val="22"/>
          <w:szCs w:val="22"/>
        </w:rPr>
        <w:t xml:space="preserve">Extracción y atribución. </w:t>
      </w:r>
      <w:r>
        <w:rPr>
          <w:sz w:val="22"/>
          <w:szCs w:val="22"/>
        </w:rPr>
        <w:t xml:space="preserve">La Capa 3 multimodal extrae Action Units (AUs) faciales de los comparecientes mediante MediaPipe FaceLandmarker, de manera homogénea en los cinco subcasos del Corpus C. La atribución de los segmentos faciales a cada compareciente se ancla en la marcación temporal verificada de su intervención —a partir de los letreros de identificación en pantalla de la JEP—, lo que garantiza una asignación auditable e independiente de la diarización automática. La unidad de análisis es el compareciente individual.</w:t>
      </w:r>
    </w:p>
    <w:p>
      <w:pPr>
        <w:spacing w:after="60" w:before="60"/>
      </w:pPr>
      <w:r>
        <w:rPr>
          <w:i/>
          <w:iCs/>
          <w:color w:val="595959"/>
          <w:sz w:val="19"/>
          <w:szCs w:val="19"/>
        </w:rPr>
        <w:t xml:space="preserve">Tabla 5.8. Composición del distress facial por Action Unit (51.220 frames, Corpus C). AU4 (ceño) es el contribuyente dominante.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960"/>
        <w:gridCol w:w="2200"/>
        <w:gridCol w:w="2200"/>
      </w:tblGrid>
      <w:tr>
        <w:trPr>
          <w:tblHeader/>
        </w:trPr>
        <w:tc>
          <w:tcPr>
            <w:tcW w:type="dxa" w:w="2000"/>
            <w:shd w:fill="1F3864" w:val="clear"/>
          </w:tcPr>
          <w:p>
            <w:pPr>
              <w:jc w:val="center"/>
            </w:pPr>
            <w:r>
              <w:rPr>
                <w:b/>
                <w:bCs/>
                <w:color w:val="FFFFFF"/>
                <w:sz w:val="19"/>
                <w:szCs w:val="19"/>
              </w:rPr>
              <w:t xml:space="preserve">Action Unit</w:t>
            </w:r>
          </w:p>
        </w:tc>
        <w:tc>
          <w:tcPr>
            <w:tcW w:type="dxa" w:w="2960"/>
            <w:shd w:fill="1F3864" w:val="clear"/>
          </w:tcPr>
          <w:p>
            <w:pPr>
              <w:jc w:val="center"/>
            </w:pPr>
            <w:r>
              <w:rPr>
                <w:b/>
                <w:bCs/>
                <w:color w:val="FFFFFF"/>
                <w:sz w:val="19"/>
                <w:szCs w:val="19"/>
              </w:rPr>
              <w:t xml:space="preserve">Descriptor FACS</w:t>
            </w:r>
          </w:p>
        </w:tc>
        <w:tc>
          <w:tcPr>
            <w:tcW w:type="dxa" w:w="2200"/>
            <w:shd w:fill="1F3864" w:val="clear"/>
          </w:tcPr>
          <w:p>
            <w:pPr>
              <w:jc w:val="center"/>
            </w:pPr>
            <w:r>
              <w:rPr>
                <w:b/>
                <w:bCs/>
                <w:color w:val="FFFFFF"/>
                <w:sz w:val="19"/>
                <w:szCs w:val="19"/>
              </w:rPr>
              <w:t xml:space="preserve">Contribución</w:t>
            </w:r>
          </w:p>
        </w:tc>
        <w:tc>
          <w:tcPr>
            <w:tcW w:type="dxa" w:w="2200"/>
            <w:shd w:fill="1F3864" w:val="clear"/>
          </w:tcPr>
          <w:p>
            <w:pPr>
              <w:jc w:val="center"/>
            </w:pPr>
            <w:r>
              <w:rPr>
                <w:b/>
                <w:bCs/>
                <w:color w:val="FFFFFF"/>
                <w:sz w:val="19"/>
                <w:szCs w:val="19"/>
              </w:rPr>
              <w:t xml:space="preserve">Correlación (r)</w:t>
            </w:r>
          </w:p>
        </w:tc>
      </w:tr>
      <w:tr>
        <w:tc>
          <w:tcPr>
            <w:tcW w:type="dxa" w:w="2000"/>
            <w:shd w:fill="FFFFFF" w:val="clear"/>
          </w:tcPr>
          <w:p>
            <w:pPr>
              <w:jc w:val="left"/>
            </w:pPr>
            <w:r>
              <w:rPr>
                <w:b/>
                <w:bCs/>
                <w:sz w:val="19"/>
                <w:szCs w:val="19"/>
              </w:rPr>
              <w:t xml:space="preserve">AU4</w:t>
            </w:r>
          </w:p>
        </w:tc>
        <w:tc>
          <w:tcPr>
            <w:tcW w:type="dxa" w:w="2960"/>
            <w:shd w:fill="FFFFFF" w:val="clear"/>
          </w:tcPr>
          <w:p>
            <w:pPr>
              <w:jc w:val="center"/>
            </w:pPr>
            <w:r>
              <w:rPr>
                <w:b w:val="false"/>
                <w:bCs w:val="false"/>
                <w:sz w:val="19"/>
                <w:szCs w:val="19"/>
              </w:rPr>
              <w:t xml:space="preserve">Ceño (brow lowerer)</w:t>
            </w:r>
          </w:p>
        </w:tc>
        <w:tc>
          <w:tcPr>
            <w:tcW w:type="dxa" w:w="2200"/>
            <w:shd w:fill="FFFFFF" w:val="clear"/>
          </w:tcPr>
          <w:p>
            <w:pPr>
              <w:jc w:val="center"/>
            </w:pPr>
            <w:r>
              <w:rPr>
                <w:b w:val="false"/>
                <w:bCs w:val="false"/>
                <w:sz w:val="19"/>
                <w:szCs w:val="19"/>
              </w:rPr>
              <w:t xml:space="preserve">52%</w:t>
            </w:r>
          </w:p>
        </w:tc>
        <w:tc>
          <w:tcPr>
            <w:tcW w:type="dxa" w:w="2200"/>
            <w:shd w:fill="FFFFFF" w:val="clear"/>
          </w:tcPr>
          <w:p>
            <w:pPr>
              <w:jc w:val="center"/>
            </w:pPr>
            <w:r>
              <w:rPr>
                <w:b w:val="false"/>
                <w:bCs w:val="false"/>
                <w:sz w:val="19"/>
                <w:szCs w:val="19"/>
              </w:rPr>
              <w:t xml:space="preserve">0.524</w:t>
            </w:r>
          </w:p>
        </w:tc>
      </w:tr>
      <w:tr>
        <w:tc>
          <w:tcPr>
            <w:tcW w:type="dxa" w:w="2000"/>
            <w:shd w:fill="F2F2F2" w:val="clear"/>
          </w:tcPr>
          <w:p>
            <w:pPr>
              <w:jc w:val="left"/>
            </w:pPr>
            <w:r>
              <w:rPr>
                <w:b/>
                <w:bCs/>
                <w:sz w:val="19"/>
                <w:szCs w:val="19"/>
              </w:rPr>
              <w:t xml:space="preserve">AU1</w:t>
            </w:r>
          </w:p>
        </w:tc>
        <w:tc>
          <w:tcPr>
            <w:tcW w:type="dxa" w:w="2960"/>
            <w:shd w:fill="F2F2F2" w:val="clear"/>
          </w:tcPr>
          <w:p>
            <w:pPr>
              <w:jc w:val="center"/>
            </w:pPr>
            <w:r>
              <w:rPr>
                <w:b w:val="false"/>
                <w:bCs w:val="false"/>
                <w:sz w:val="19"/>
                <w:szCs w:val="19"/>
              </w:rPr>
              <w:t xml:space="preserve">Ceja interna elevada</w:t>
            </w:r>
          </w:p>
        </w:tc>
        <w:tc>
          <w:tcPr>
            <w:tcW w:type="dxa" w:w="2200"/>
            <w:shd w:fill="F2F2F2" w:val="clear"/>
          </w:tcPr>
          <w:p>
            <w:pPr>
              <w:jc w:val="center"/>
            </w:pPr>
            <w:r>
              <w:rPr>
                <w:b w:val="false"/>
                <w:bCs w:val="false"/>
                <w:sz w:val="19"/>
                <w:szCs w:val="19"/>
              </w:rPr>
              <w:t xml:space="preserve">24%</w:t>
            </w:r>
          </w:p>
        </w:tc>
        <w:tc>
          <w:tcPr>
            <w:tcW w:type="dxa" w:w="2200"/>
            <w:shd w:fill="F2F2F2" w:val="clear"/>
          </w:tcPr>
          <w:p>
            <w:pPr>
              <w:jc w:val="center"/>
            </w:pPr>
            <w:r>
              <w:rPr>
                <w:b w:val="false"/>
                <w:bCs w:val="false"/>
                <w:sz w:val="19"/>
                <w:szCs w:val="19"/>
              </w:rPr>
              <w:t xml:space="preserve">0.260</w:t>
            </w:r>
          </w:p>
        </w:tc>
      </w:tr>
      <w:tr>
        <w:tc>
          <w:tcPr>
            <w:tcW w:type="dxa" w:w="2000"/>
            <w:shd w:fill="FFFFFF" w:val="clear"/>
          </w:tcPr>
          <w:p>
            <w:pPr>
              <w:jc w:val="left"/>
            </w:pPr>
            <w:r>
              <w:rPr>
                <w:b/>
                <w:bCs/>
                <w:sz w:val="19"/>
                <w:szCs w:val="19"/>
              </w:rPr>
              <w:t xml:space="preserve">AU17</w:t>
            </w:r>
          </w:p>
        </w:tc>
        <w:tc>
          <w:tcPr>
            <w:tcW w:type="dxa" w:w="2960"/>
            <w:shd w:fill="FFFFFF" w:val="clear"/>
          </w:tcPr>
          <w:p>
            <w:pPr>
              <w:jc w:val="center"/>
            </w:pPr>
            <w:r>
              <w:rPr>
                <w:b w:val="false"/>
                <w:bCs w:val="false"/>
                <w:sz w:val="19"/>
                <w:szCs w:val="19"/>
              </w:rPr>
              <w:t xml:space="preserve">Mentón (chin raiser)</w:t>
            </w:r>
          </w:p>
        </w:tc>
        <w:tc>
          <w:tcPr>
            <w:tcW w:type="dxa" w:w="2200"/>
            <w:shd w:fill="FFFFFF" w:val="clear"/>
          </w:tcPr>
          <w:p>
            <w:pPr>
              <w:jc w:val="center"/>
            </w:pPr>
            <w:r>
              <w:rPr>
                <w:b w:val="false"/>
                <w:bCs w:val="false"/>
                <w:sz w:val="19"/>
                <w:szCs w:val="19"/>
              </w:rPr>
              <w:t xml:space="preserve">23%</w:t>
            </w:r>
          </w:p>
        </w:tc>
        <w:tc>
          <w:tcPr>
            <w:tcW w:type="dxa" w:w="2200"/>
            <w:shd w:fill="FFFFFF" w:val="clear"/>
          </w:tcPr>
          <w:p>
            <w:pPr>
              <w:jc w:val="center"/>
            </w:pPr>
            <w:r>
              <w:rPr>
                <w:b w:val="false"/>
                <w:bCs w:val="false"/>
                <w:sz w:val="19"/>
                <w:szCs w:val="19"/>
              </w:rPr>
              <w:t xml:space="preserve">0.238</w:t>
            </w:r>
          </w:p>
        </w:tc>
      </w:tr>
      <w:tr>
        <w:tc>
          <w:tcPr>
            <w:tcW w:type="dxa" w:w="2000"/>
            <w:shd w:fill="F2F2F2" w:val="clear"/>
          </w:tcPr>
          <w:p>
            <w:pPr>
              <w:jc w:val="left"/>
            </w:pPr>
            <w:r>
              <w:rPr>
                <w:b/>
                <w:bCs/>
                <w:sz w:val="19"/>
                <w:szCs w:val="19"/>
              </w:rPr>
              <w:t xml:space="preserve">AU15</w:t>
            </w:r>
          </w:p>
        </w:tc>
        <w:tc>
          <w:tcPr>
            <w:tcW w:type="dxa" w:w="2960"/>
            <w:shd w:fill="F2F2F2" w:val="clear"/>
          </w:tcPr>
          <w:p>
            <w:pPr>
              <w:jc w:val="center"/>
            </w:pPr>
            <w:r>
              <w:rPr>
                <w:b w:val="false"/>
                <w:bCs w:val="false"/>
                <w:sz w:val="19"/>
                <w:szCs w:val="19"/>
              </w:rPr>
              <w:t xml:space="preserve">Comisuras hacia abajo</w:t>
            </w:r>
          </w:p>
        </w:tc>
        <w:tc>
          <w:tcPr>
            <w:tcW w:type="dxa" w:w="2200"/>
            <w:shd w:fill="F2F2F2" w:val="clear"/>
          </w:tcPr>
          <w:p>
            <w:pPr>
              <w:jc w:val="center"/>
            </w:pPr>
            <w:r>
              <w:rPr>
                <w:b w:val="false"/>
                <w:bCs w:val="false"/>
                <w:sz w:val="19"/>
                <w:szCs w:val="19"/>
              </w:rPr>
              <w:t xml:space="preserve">2%</w:t>
            </w:r>
          </w:p>
        </w:tc>
        <w:tc>
          <w:tcPr>
            <w:tcW w:type="dxa" w:w="2200"/>
            <w:shd w:fill="F2F2F2" w:val="clear"/>
          </w:tcPr>
          <w:p>
            <w:pPr>
              <w:jc w:val="center"/>
            </w:pPr>
            <w:r>
              <w:rPr>
                <w:b w:val="false"/>
                <w:bCs w:val="false"/>
                <w:sz w:val="19"/>
                <w:szCs w:val="19"/>
              </w:rPr>
              <w:t xml:space="preserve">0.090</w:t>
            </w:r>
          </w:p>
        </w:tc>
      </w:tr>
    </w:tbl>
    <w:p>
      <w:pPr>
        <w:spacing w:after="120" w:line="276"/>
        <w:jc w:val="both"/>
      </w:pPr>
      <w:r>
        <w:rPr>
          <w:b/>
          <w:bCs/>
          <w:sz w:val="22"/>
          <w:szCs w:val="22"/>
        </w:rPr>
        <w:t xml:space="preserve">Supresión de AUs bucales por el habla. </w:t>
      </w:r>
      <w:r>
        <w:rPr>
          <w:sz w:val="22"/>
          <w:szCs w:val="22"/>
        </w:rPr>
        <w:t xml:space="preserve">AU4 (ceño) es el contribuyente dominante del distress (52%), seguido de AU1 (24%) y AU17 (23%); AU15 aporta de forma marginal (2%). Las Action Units de la región bucal muestran supresión sistemática durante el habla: AU17 desciende cerca del 80% en frames de habla activa frente a frames de boca en reposo. AU4, situada en la región frontal e independiente del aparato fonador, resulta el indicador de distress más estable en audiencias donde los comparecientes hablan de forma continua. Este comportamiento se documenta como característica metodológica del análisis facial en contextos forenses orales.</w:t>
      </w:r>
    </w:p>
    <w:p>
      <w:pPr>
        <w:spacing w:after="120" w:line="276"/>
        <w:jc w:val="both"/>
      </w:pPr>
      <w:r>
        <w:rPr>
          <w:b/>
          <w:bCs/>
          <w:sz w:val="22"/>
          <w:szCs w:val="22"/>
        </w:rPr>
        <w:t xml:space="preserve">Normalización comparativa. </w:t>
      </w:r>
      <w:r>
        <w:rPr>
          <w:sz w:val="22"/>
          <w:szCs w:val="22"/>
        </w:rPr>
        <w:t xml:space="preserve">El canal facial se normaliza mediante z-score sobre la distribución del corpus (μ=0.1024, σ=0.0369, congeladas como constantes de calibración), mapeado al rango [0,1]. Conforme a Barrett et al. (2019), la intensidad absoluta de las configuraciones faciales no es directamente interpretable, por lo que la expresión facial se evalúa de forma relativa entre individuos.</w:t>
      </w:r>
    </w:p>
    <w:p>
      <w:pPr>
        <w:spacing w:after="120" w:line="276"/>
        <w:jc w:val="both"/>
      </w:pPr>
      <w:r>
        <w:rPr>
          <w:b/>
          <w:bCs/>
          <w:sz w:val="22"/>
          <w:szCs w:val="22"/>
        </w:rPr>
        <w:t xml:space="preserve">Nota epistemológica. </w:t>
      </w:r>
      <w:r>
        <w:rPr>
          <w:sz w:val="22"/>
          <w:szCs w:val="22"/>
        </w:rPr>
        <w:t xml:space="preserve">Los resultados de la Capa 3 deben leerse con cautela fundamental. El ICM facial no mide sinceridad ni autenticidad psicológica individual: mide congruencia entre señales comunicativas multimodales a nivel del compareciente. Adicionalmente, MediaPipe FaceLandmarker no ha sido auditado sobre rostros mestizos, afrocolombianos o indígenas (Buolamwini y Gebru, 2018), lo que constituye una limitación de transferibilidad explícita.</w:t>
      </w:r>
    </w:p>
    <w:p>
      <w:pPr>
        <w:pStyle w:val="Heading2"/>
        <w:spacing w:after="100" w:before="200"/>
      </w:pPr>
      <w:r>
        <w:rPr>
          <w:b/>
          <w:bCs/>
          <w:color w:val="1F3864"/>
          <w:sz w:val="26"/>
          <w:szCs w:val="26"/>
        </w:rPr>
        <w:t xml:space="preserve">5.10 Capa 3 — ICM tri-canal por compareciente</w:t>
      </w:r>
    </w:p>
    <w:p>
      <w:pPr>
        <w:spacing w:after="120" w:line="276"/>
        <w:jc w:val="both"/>
      </w:pPr>
      <w:r>
        <w:rPr>
          <w:sz w:val="22"/>
          <w:szCs w:val="22"/>
        </w:rPr>
        <w:t xml:space="preserve">El Índice de Congruencia Multimodal se calcula para cada compareciente individualmente, integrando los tres canales con pesos 0.40 facial / 0.40 vocal / 0.20 verbal. El canal facial se normaliza por z-score comparativo; el vocal mediante escala fija anclada en valores de referencia de la literatura; y el verbal como proporción del discurso reparador (REP, y₁₀). Cuando un canal carece de cobertura suficiente, el índice se renormaliza sobre los canales disponibles. De los 47 comparecientes con cobertura suficiente, 38 se clasifican como sólidos y 9 como mínimos.</w:t>
      </w:r>
    </w:p>
    <w:p>
      <w:pPr>
        <w:pStyle w:val="Heading2"/>
        <w:spacing w:after="100" w:before="200"/>
      </w:pPr>
      <w:r>
        <w:rPr>
          <w:b/>
          <w:bCs/>
          <w:color w:val="1F3864"/>
          <w:sz w:val="26"/>
          <w:szCs w:val="26"/>
        </w:rPr>
        <w:t xml:space="preserve">5.11 Capa 3 — Síntesis interpretativa por subcaso</w:t>
      </w:r>
    </w:p>
    <w:p>
      <w:pPr>
        <w:spacing w:after="120" w:line="276"/>
        <w:jc w:val="both"/>
      </w:pPr>
      <w:r>
        <w:rPr>
          <w:b/>
          <w:bCs/>
          <w:sz w:val="22"/>
          <w:szCs w:val="22"/>
        </w:rPr>
        <w:t xml:space="preserve">Del subcaso al individuo. </w:t>
      </w:r>
      <w:r>
        <w:rPr>
          <w:sz w:val="22"/>
          <w:szCs w:val="22"/>
        </w:rPr>
        <w:t xml:space="preserve">El nivel individual revela un patrón que el análisis agregado por subcaso no podía mostrar: la congruencia multimodal es un atributo del compareciente, no del subcaso. La dispersión intra-subcaso es sustancial y, en varios casos, supera las diferencias entre subcasos.</w:t>
      </w:r>
    </w:p>
    <w:p>
      <w:pPr>
        <w:spacing w:after="120" w:line="276"/>
        <w:jc w:val="both"/>
      </w:pPr>
      <w:r>
        <w:rPr>
          <w:b/>
          <w:bCs/>
          <w:sz w:val="22"/>
          <w:szCs w:val="22"/>
        </w:rPr>
        <w:t xml:space="preserve">Casanare (Torres Escalante). </w:t>
      </w:r>
      <w:r>
        <w:rPr>
          <w:sz w:val="22"/>
          <w:szCs w:val="22"/>
        </w:rPr>
        <w:t xml:space="preserve">Único compareciente identificado del subcaso, presenta el hallazgo más interpretativo de la Capa 3: su canal vocal es el más alto del corpus (0.624) mientras su canal facial es comparativamente bajo (0.346). La divergencia vocal-facial (Δ=0.278) es la mayor del corpus —la voz comunica carga emocional mientras el rostro mantiene expresión contenida, con la sonrisa (AU12) más alta y el ceño (AU4) más bajo entre los comparecientes con buena detección.</w:t>
      </w:r>
    </w:p>
    <w:p>
      <w:pPr>
        <w:spacing w:after="120" w:line="276"/>
        <w:jc w:val="both"/>
      </w:pPr>
      <w:r>
        <w:rPr>
          <w:b/>
          <w:bCs/>
          <w:sz w:val="22"/>
          <w:szCs w:val="22"/>
        </w:rPr>
        <w:t xml:space="preserve">Catatumbo (Chaparro, Castro, Herrera). </w:t>
      </w:r>
      <w:r>
        <w:rPr>
          <w:sz w:val="22"/>
          <w:szCs w:val="22"/>
        </w:rPr>
        <w:t xml:space="preserve">Los tres comparecientes presentan ICM muy homogéneo (0.337–0.354). El Capitán Chaparro ejemplifica la disociación léxico-semántica analizada en §5.13: discurso gramaticalmente directo pero semánticamente el más distante del lenguaje de las víctimas. Catatumbo, primera audiencia de reconocimiento del Macrocaso 003, presenta el AU15 más alto del corpus.</w:t>
      </w:r>
    </w:p>
    <w:p>
      <w:pPr>
        <w:spacing w:after="120" w:line="276"/>
        <w:jc w:val="both"/>
      </w:pPr>
      <w:r>
        <w:rPr>
          <w:b/>
          <w:bCs/>
          <w:sz w:val="22"/>
          <w:szCs w:val="22"/>
        </w:rPr>
        <w:t xml:space="preserve">Dabeiba (12 comparecientes). </w:t>
      </w:r>
      <w:r>
        <w:rPr>
          <w:sz w:val="22"/>
          <w:szCs w:val="22"/>
        </w:rPr>
        <w:t xml:space="preserve">Presenta una de las mayores dispersiones del corpus (ICM de 0.242 a 0.498). La materialidad del acto de reconocimiento —los comparecientes guiaron a los investigadores a 49 fosas del cementerio Las Mercedes— coexiste con perfiles multimodales individuales diversos.</w:t>
      </w:r>
    </w:p>
    <w:p>
      <w:pPr>
        <w:spacing w:after="120" w:line="276"/>
        <w:jc w:val="both"/>
      </w:pPr>
      <w:r>
        <w:rPr>
          <w:b/>
          <w:bCs/>
          <w:sz w:val="22"/>
          <w:szCs w:val="22"/>
        </w:rPr>
        <w:t xml:space="preserve">Huila (26 comparecientes). </w:t>
      </w:r>
      <w:r>
        <w:rPr>
          <w:sz w:val="22"/>
          <w:szCs w:val="22"/>
        </w:rPr>
        <w:t xml:space="preserve">Subcaso más numeroso y de mayor dispersión (ICM de 0.243 a 0.579). Es también el subcaso semánticamente más cercano al lenguaje de las víctimas a nivel agregado. La amplitud del rango confirma que la congruencia multimodal es estrictamente individual.</w:t>
      </w:r>
    </w:p>
    <w:p>
      <w:pPr>
        <w:spacing w:after="120" w:line="276"/>
        <w:jc w:val="both"/>
      </w:pPr>
      <w:r>
        <w:rPr>
          <w:b/>
          <w:bCs/>
          <w:sz w:val="22"/>
          <w:szCs w:val="22"/>
        </w:rPr>
        <w:t xml:space="preserve">Costa Caribe (5 comparecientes). </w:t>
      </w:r>
      <w:r>
        <w:rPr>
          <w:sz w:val="22"/>
          <w:szCs w:val="22"/>
        </w:rPr>
        <w:t xml:space="preserve">Los cinco comparecientes (Batallón La Popa) presentan ICM entre 0.345 y 0.436, con cobertura facial y vocal completa tras la reextracción homogénea. Su incorporación completa el Corpus C en los cinco subcasos.</w:t>
      </w:r>
    </w:p>
    <w:p>
      <w:pPr>
        <w:pStyle w:val="Heading2"/>
        <w:spacing w:after="100" w:before="200"/>
      </w:pPr>
      <w:r>
        <w:rPr>
          <w:b/>
          <w:bCs/>
          <w:color w:val="1F3864"/>
          <w:sz w:val="26"/>
          <w:szCs w:val="26"/>
        </w:rPr>
        <w:t xml:space="preserve">5.12 Capa 3 — Disociación de canales como patrón estructural</w:t>
      </w:r>
    </w:p>
    <w:p>
      <w:pPr>
        <w:spacing w:after="120" w:line="276"/>
        <w:jc w:val="both"/>
      </w:pPr>
      <w:r>
        <w:rPr>
          <w:sz w:val="22"/>
          <w:szCs w:val="22"/>
        </w:rPr>
        <w:t xml:space="preserve">El análisis individual confirma el hallazgo central de la Capa 3: la disociación entre canales discursivos es el patrón estructural dominante de las audiencias de reconocimiento. En ningún compareciente los tres canales apuntan uniformemente en la misma dirección. Esta disociación adopta formas distintas: divergencia vocal-facial (paradigmáticamente Torres Escalante, Δ=0.278), disociación léxico-semántica (Chaparro, que usa el vocabulario de las víctimas en superficie pero permanece distante en el embedding profundo), o canal verbal reparador alto con canales no verbales contenidos. La existencia de estos perfiles heterogéneos —imposibles de detectar con un único canal— valida metodológicamente la arquitectura tri-canal del ICM y, más ampliamente, la arquitectura multi-capa del framework CFH.</w:t>
      </w:r>
    </w:p>
    <w:p>
      <w:pPr>
        <w:pStyle w:val="Heading2"/>
        <w:spacing w:after="100" w:before="200"/>
      </w:pPr>
      <w:r>
        <w:rPr>
          <w:b/>
          <w:bCs/>
          <w:color w:val="1F3864"/>
          <w:sz w:val="26"/>
          <w:szCs w:val="26"/>
        </w:rPr>
        <w:t xml:space="preserve">5.13 Índices sintéticos DIS e IEI: análisis tri-corpus y por subcaso</w:t>
      </w:r>
    </w:p>
    <w:p>
      <w:pPr>
        <w:spacing w:after="120" w:line="276"/>
        <w:jc w:val="both"/>
      </w:pPr>
      <w:r>
        <w:rPr>
          <w:b/>
          <w:bCs/>
          <w:sz w:val="22"/>
          <w:szCs w:val="22"/>
        </w:rPr>
        <w:t xml:space="preserve">Definición y normalización (opción A). </w:t>
      </w:r>
      <w:r>
        <w:rPr>
          <w:sz w:val="22"/>
          <w:szCs w:val="22"/>
        </w:rPr>
        <w:t xml:space="preserve">Los índices sintéticos DIS (Injusticia Discursiva) e IEI (Injusticia Epistémica) se definen sobre indicadores previamente normalizados mediante z-score seguido de función sigmoide sobre la distribución conjunta A+B+C. En su formulación definitiva —opción A— los dos índices no comparten ningún indicador, lo que garantiza dimensiones conceptualmente limpias:</w:t>
      </w:r>
    </w:p>
    <w:p>
      <w:pPr>
        <w:spacing w:after="80"/>
        <w:jc w:val="center"/>
      </w:pPr>
      <w:r>
        <w:rPr>
          <w:i/>
          <w:iCs/>
          <w:sz w:val="22"/>
          <w:szCs w:val="22"/>
        </w:rPr>
        <w:t xml:space="preserve">DIS = 0.40·EBI + 0.30·SA + 0.30·(1−REP)</w:t>
      </w:r>
    </w:p>
    <w:p>
      <w:pPr>
        <w:spacing w:after="120"/>
        <w:jc w:val="center"/>
      </w:pPr>
      <w:r>
        <w:rPr>
          <w:i/>
          <w:iCs/>
          <w:sz w:val="22"/>
          <w:szCs w:val="22"/>
        </w:rPr>
        <w:t xml:space="preserve">IEI = 0.40·MAFAPO + 0.30·CIDH + 0.30·NV</w:t>
      </w:r>
    </w:p>
    <w:p>
      <w:pPr>
        <w:spacing w:after="120" w:line="276"/>
        <w:jc w:val="both"/>
      </w:pPr>
      <w:r>
        <w:rPr>
          <w:sz w:val="22"/>
          <w:szCs w:val="22"/>
        </w:rPr>
        <w:t xml:space="preserve">El DIS agrupa los mecanismos discursivos de superficie (eufemismo bélico, supresión de agentividad y ausencia de reparación); el IEI operacionaliza el marco de Fricker (2007) mediante la distancia semántica al lenguaje de las víctimas (y₈), la distancia a estándares de derechos humanos (y₉) y la negación de victimización como déficit de credibilidad testimonial (y₄). Los pesos son teóricos —fundados en los marcos de Galtung y Fricker— y no fueron optimizados sobre los datos, lo que evita el sobreajuste y preserva la interpretabilidad de los índices. La elección de la opción A sobre alternativas que ubican REP en ambos índices tiene doble respaldo: teórico (índices sin indicadores compartidos) y empírico (la correlación DIS-IEI es más baja, ρ=0.164).</w:t>
      </w:r>
    </w:p>
    <w:p>
      <w:pPr>
        <w:pStyle w:val="Heading3"/>
        <w:spacing w:after="80" w:before="160"/>
      </w:pPr>
      <w:r>
        <w:rPr>
          <w:b/>
          <w:bCs/>
          <w:color w:val="1F3864"/>
          <w:sz w:val="23"/>
          <w:szCs w:val="23"/>
        </w:rPr>
        <w:t xml:space="preserve">5.13.1 Análisis tri-corpus</w:t>
      </w:r>
    </w:p>
    <w:p>
      <w:pPr>
        <w:spacing w:after="60" w:before="60"/>
      </w:pPr>
      <w:r>
        <w:rPr>
          <w:i/>
          <w:iCs/>
          <w:color w:val="595959"/>
          <w:sz w:val="19"/>
          <w:szCs w:val="19"/>
        </w:rPr>
        <w:t xml:space="preserve">Tabla 5.9. DIS e IEI por corpus (opción A, normalización conjunta A+B+C, n=946). Mayor valor = mayor injusticia.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2600"/>
        <w:gridCol w:w="2600"/>
        <w:gridCol w:w="2400"/>
      </w:tblGrid>
      <w:tr>
        <w:trPr>
          <w:tblHeader/>
        </w:trPr>
        <w:tc>
          <w:tcPr>
            <w:tcW w:type="dxa" w:w="1760"/>
            <w:shd w:fill="1F3864" w:val="clear"/>
          </w:tcPr>
          <w:p>
            <w:pPr>
              <w:jc w:val="center"/>
            </w:pPr>
            <w:r>
              <w:rPr>
                <w:b/>
                <w:bCs/>
                <w:color w:val="FFFFFF"/>
                <w:sz w:val="19"/>
                <w:szCs w:val="19"/>
              </w:rPr>
              <w:t xml:space="preserve">Índice</w:t>
            </w:r>
          </w:p>
        </w:tc>
        <w:tc>
          <w:tcPr>
            <w:tcW w:type="dxa" w:w="2600"/>
            <w:shd w:fill="1F3864" w:val="clear"/>
          </w:tcPr>
          <w:p>
            <w:pPr>
              <w:jc w:val="center"/>
            </w:pPr>
            <w:r>
              <w:rPr>
                <w:b/>
                <w:bCs/>
                <w:color w:val="FFFFFF"/>
                <w:sz w:val="19"/>
                <w:szCs w:val="19"/>
              </w:rPr>
              <w:t xml:space="preserve">Corpus A (ordinaria)</w:t>
            </w:r>
          </w:p>
        </w:tc>
        <w:tc>
          <w:tcPr>
            <w:tcW w:type="dxa" w:w="2600"/>
            <w:shd w:fill="1F3864" w:val="clear"/>
          </w:tcPr>
          <w:p>
            <w:pPr>
              <w:jc w:val="center"/>
            </w:pPr>
            <w:r>
              <w:rPr>
                <w:b/>
                <w:bCs/>
                <w:color w:val="FFFFFF"/>
                <w:sz w:val="19"/>
                <w:szCs w:val="19"/>
              </w:rPr>
              <w:t xml:space="preserve">Corpus B (JEP escrita)</w:t>
            </w:r>
          </w:p>
        </w:tc>
        <w:tc>
          <w:tcPr>
            <w:tcW w:type="dxa" w:w="2400"/>
            <w:shd w:fill="1F3864" w:val="clear"/>
          </w:tcPr>
          <w:p>
            <w:pPr>
              <w:jc w:val="center"/>
            </w:pPr>
            <w:r>
              <w:rPr>
                <w:b/>
                <w:bCs/>
                <w:color w:val="FFFFFF"/>
                <w:sz w:val="19"/>
                <w:szCs w:val="19"/>
              </w:rPr>
              <w:t xml:space="preserve">Corpus C (JEP oral)</w:t>
            </w:r>
          </w:p>
        </w:tc>
      </w:tr>
      <w:tr>
        <w:tc>
          <w:tcPr>
            <w:tcW w:type="dxa" w:w="1760"/>
            <w:shd w:fill="FFFFFF" w:val="clear"/>
          </w:tcPr>
          <w:p>
            <w:pPr>
              <w:jc w:val="left"/>
            </w:pPr>
            <w:r>
              <w:rPr>
                <w:b/>
                <w:bCs/>
                <w:sz w:val="19"/>
                <w:szCs w:val="19"/>
              </w:rPr>
              <w:t xml:space="preserve">DIS</w:t>
            </w:r>
          </w:p>
        </w:tc>
        <w:tc>
          <w:tcPr>
            <w:tcW w:type="dxa" w:w="2600"/>
            <w:shd w:fill="FFFFFF" w:val="clear"/>
          </w:tcPr>
          <w:p>
            <w:pPr>
              <w:jc w:val="center"/>
            </w:pPr>
            <w:r>
              <w:rPr>
                <w:b w:val="false"/>
                <w:bCs w:val="false"/>
                <w:sz w:val="19"/>
                <w:szCs w:val="19"/>
              </w:rPr>
              <w:t xml:space="preserve">0.510</w:t>
            </w:r>
          </w:p>
        </w:tc>
        <w:tc>
          <w:tcPr>
            <w:tcW w:type="dxa" w:w="2600"/>
            <w:shd w:fill="FFFFFF" w:val="clear"/>
          </w:tcPr>
          <w:p>
            <w:pPr>
              <w:jc w:val="center"/>
            </w:pPr>
            <w:r>
              <w:rPr>
                <w:b w:val="false"/>
                <w:bCs w:val="false"/>
                <w:sz w:val="19"/>
                <w:szCs w:val="19"/>
              </w:rPr>
              <w:t xml:space="preserve">0.498</w:t>
            </w:r>
          </w:p>
        </w:tc>
        <w:tc>
          <w:tcPr>
            <w:tcW w:type="dxa" w:w="2400"/>
            <w:shd w:fill="FFFFFF" w:val="clear"/>
          </w:tcPr>
          <w:p>
            <w:pPr>
              <w:jc w:val="center"/>
            </w:pPr>
            <w:r>
              <w:rPr>
                <w:b w:val="false"/>
                <w:bCs w:val="false"/>
                <w:sz w:val="19"/>
                <w:szCs w:val="19"/>
              </w:rPr>
              <w:t xml:space="preserve">0.394</w:t>
            </w:r>
          </w:p>
        </w:tc>
      </w:tr>
      <w:tr>
        <w:tc>
          <w:tcPr>
            <w:tcW w:type="dxa" w:w="1760"/>
            <w:shd w:fill="F2F2F2" w:val="clear"/>
          </w:tcPr>
          <w:p>
            <w:pPr>
              <w:jc w:val="left"/>
            </w:pPr>
            <w:r>
              <w:rPr>
                <w:b/>
                <w:bCs/>
                <w:sz w:val="19"/>
                <w:szCs w:val="19"/>
              </w:rPr>
              <w:t xml:space="preserve">IEI</w:t>
            </w:r>
          </w:p>
        </w:tc>
        <w:tc>
          <w:tcPr>
            <w:tcW w:type="dxa" w:w="2600"/>
            <w:shd w:fill="F2F2F2" w:val="clear"/>
          </w:tcPr>
          <w:p>
            <w:pPr>
              <w:jc w:val="center"/>
            </w:pPr>
            <w:r>
              <w:rPr>
                <w:b w:val="false"/>
                <w:bCs w:val="false"/>
                <w:sz w:val="19"/>
                <w:szCs w:val="19"/>
              </w:rPr>
              <w:t xml:space="preserve">0.513</w:t>
            </w:r>
          </w:p>
        </w:tc>
        <w:tc>
          <w:tcPr>
            <w:tcW w:type="dxa" w:w="2600"/>
            <w:shd w:fill="F2F2F2" w:val="clear"/>
          </w:tcPr>
          <w:p>
            <w:pPr>
              <w:jc w:val="center"/>
            </w:pPr>
            <w:r>
              <w:rPr>
                <w:b w:val="false"/>
                <w:bCs w:val="false"/>
                <w:sz w:val="19"/>
                <w:szCs w:val="19"/>
              </w:rPr>
              <w:t xml:space="preserve">0.353</w:t>
            </w:r>
          </w:p>
        </w:tc>
        <w:tc>
          <w:tcPr>
            <w:tcW w:type="dxa" w:w="2400"/>
            <w:shd w:fill="F2F2F2" w:val="clear"/>
          </w:tcPr>
          <w:p>
            <w:pPr>
              <w:jc w:val="center"/>
            </w:pPr>
            <w:r>
              <w:rPr>
                <w:b w:val="false"/>
                <w:bCs w:val="false"/>
                <w:sz w:val="19"/>
                <w:szCs w:val="19"/>
              </w:rPr>
              <w:t xml:space="preserve">0.370</w:t>
            </w:r>
          </w:p>
        </w:tc>
      </w:tr>
    </w:tbl>
    <w:p>
      <w:pPr>
        <w:spacing w:after="120" w:line="276"/>
        <w:jc w:val="both"/>
      </w:pPr>
      <w:r>
        <w:rPr>
          <w:sz w:val="22"/>
          <w:szCs w:val="22"/>
        </w:rPr>
        <w:t xml:space="preserve">El hallazgo central del análisis tri-corpus es que el IEI separa nítidamente la justicia ordinaria de la transicional: el Corpus A (0.513) presenta una injusticia epistémica sustancialmente mayor que los corpus de la JEP escrita (0.353) y oral (0.370), con una brecha de aproximadamente 0.15 puntos en la dirección predicha por la hipótesis de corrección epistémica. El DIS, en cambio, resulta transversal entre los sistemas escritos (A=0.510, B=0.498), reduciéndose solo en el registro oral (C=0.394). Esta disociación es teóricamente significativa: la JEP corrige la injusticia epistémica —adopta el léxico de las víctimas y reduce el déficit de credibilidad— sin alterar sustancialmente las convenciones discursivas de superficie propias del género jurídico, que el DIS captura y que resultan compartidas por ambos sistemas escritos.</w:t>
      </w:r>
    </w:p>
    <w:p>
      <w:pPr>
        <w:pStyle w:val="Heading3"/>
        <w:spacing w:after="80" w:before="160"/>
      </w:pPr>
      <w:r>
        <w:rPr>
          <w:b/>
          <w:bCs/>
          <w:color w:val="1F3864"/>
          <w:sz w:val="23"/>
          <w:szCs w:val="23"/>
        </w:rPr>
        <w:t xml:space="preserve">5.13.2 Análisis por subcaso del Corpus C</w:t>
      </w:r>
    </w:p>
    <w:p>
      <w:pPr>
        <w:spacing w:after="60" w:before="60"/>
      </w:pPr>
      <w:r>
        <w:rPr>
          <w:i/>
          <w:iCs/>
          <w:color w:val="595959"/>
          <w:sz w:val="19"/>
          <w:szCs w:val="19"/>
        </w:rPr>
        <w:t xml:space="preserve">Tabla 5.10. DIS e IEI por subcaso del Corpus C (opción A, misma normalización conjunta). n = comparecientes. Casanare (n=1) y Catatumbo (n=3) tienen n bajo: sus medias son ilustrativas, no representativas de un grupo amplio.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1400"/>
        <w:gridCol w:w="1400"/>
        <w:gridCol w:w="3260"/>
      </w:tblGrid>
      <w:tr>
        <w:trPr>
          <w:tblHeader/>
        </w:trPr>
        <w:tc>
          <w:tcPr>
            <w:tcW w:type="dxa" w:w="2400"/>
            <w:shd w:fill="1F3864" w:val="clear"/>
          </w:tcPr>
          <w:p>
            <w:pPr>
              <w:jc w:val="center"/>
            </w:pPr>
            <w:r>
              <w:rPr>
                <w:b/>
                <w:bCs/>
                <w:color w:val="FFFFFF"/>
                <w:sz w:val="19"/>
                <w:szCs w:val="19"/>
              </w:rPr>
              <w:t xml:space="preserve">Subcaso</w:t>
            </w:r>
          </w:p>
        </w:tc>
        <w:tc>
          <w:tcPr>
            <w:tcW w:type="dxa" w:w="900"/>
            <w:shd w:fill="1F3864" w:val="clear"/>
          </w:tcPr>
          <w:p>
            <w:pPr>
              <w:jc w:val="center"/>
            </w:pPr>
            <w:r>
              <w:rPr>
                <w:b/>
                <w:bCs/>
                <w:color w:val="FFFFFF"/>
                <w:sz w:val="19"/>
                <w:szCs w:val="19"/>
              </w:rPr>
              <w:t xml:space="preserve">n</w:t>
            </w:r>
          </w:p>
        </w:tc>
        <w:tc>
          <w:tcPr>
            <w:tcW w:type="dxa" w:w="1400"/>
            <w:shd w:fill="1F3864" w:val="clear"/>
          </w:tcPr>
          <w:p>
            <w:pPr>
              <w:jc w:val="center"/>
            </w:pPr>
            <w:r>
              <w:rPr>
                <w:b/>
                <w:bCs/>
                <w:color w:val="FFFFFF"/>
                <w:sz w:val="19"/>
                <w:szCs w:val="19"/>
              </w:rPr>
              <w:t xml:space="preserve">DIS</w:t>
            </w:r>
          </w:p>
        </w:tc>
        <w:tc>
          <w:tcPr>
            <w:tcW w:type="dxa" w:w="1400"/>
            <w:shd w:fill="1F3864" w:val="clear"/>
          </w:tcPr>
          <w:p>
            <w:pPr>
              <w:jc w:val="center"/>
            </w:pPr>
            <w:r>
              <w:rPr>
                <w:b/>
                <w:bCs/>
                <w:color w:val="FFFFFF"/>
                <w:sz w:val="19"/>
                <w:szCs w:val="19"/>
              </w:rPr>
              <w:t xml:space="preserve">IEI</w:t>
            </w:r>
          </w:p>
        </w:tc>
        <w:tc>
          <w:tcPr>
            <w:tcW w:type="dxa" w:w="3260"/>
            <w:shd w:fill="1F3864" w:val="clear"/>
          </w:tcPr>
          <w:p>
            <w:pPr>
              <w:jc w:val="center"/>
            </w:pPr>
            <w:r>
              <w:rPr>
                <w:b/>
                <w:bCs/>
                <w:color w:val="FFFFFF"/>
                <w:sz w:val="19"/>
                <w:szCs w:val="19"/>
              </w:rPr>
              <w:t xml:space="preserve">Patrón</w:t>
            </w:r>
          </w:p>
        </w:tc>
      </w:tr>
      <w:tr>
        <w:tc>
          <w:tcPr>
            <w:tcW w:type="dxa" w:w="2400"/>
            <w:shd w:fill="FFFFFF" w:val="clear"/>
          </w:tcPr>
          <w:p>
            <w:pPr>
              <w:jc w:val="left"/>
            </w:pPr>
            <w:r>
              <w:rPr>
                <w:b/>
                <w:bCs/>
                <w:sz w:val="19"/>
                <w:szCs w:val="19"/>
              </w:rPr>
              <w:t xml:space="preserve">Casanare</w:t>
            </w:r>
          </w:p>
        </w:tc>
        <w:tc>
          <w:tcPr>
            <w:tcW w:type="dxa" w:w="900"/>
            <w:shd w:fill="FFFFFF" w:val="clear"/>
          </w:tcPr>
          <w:p>
            <w:pPr>
              <w:jc w:val="center"/>
            </w:pPr>
            <w:r>
              <w:rPr>
                <w:b w:val="false"/>
                <w:bCs w:val="false"/>
                <w:sz w:val="19"/>
                <w:szCs w:val="19"/>
              </w:rPr>
              <w:t xml:space="preserve">1</w:t>
            </w:r>
          </w:p>
        </w:tc>
        <w:tc>
          <w:tcPr>
            <w:tcW w:type="dxa" w:w="1400"/>
            <w:shd w:fill="FFFFFF" w:val="clear"/>
          </w:tcPr>
          <w:p>
            <w:pPr>
              <w:jc w:val="center"/>
            </w:pPr>
            <w:r>
              <w:rPr>
                <w:b w:val="false"/>
                <w:bCs w:val="false"/>
                <w:sz w:val="19"/>
                <w:szCs w:val="19"/>
              </w:rPr>
              <w:t xml:space="preserve">0.520</w:t>
            </w:r>
          </w:p>
        </w:tc>
        <w:tc>
          <w:tcPr>
            <w:tcW w:type="dxa" w:w="1400"/>
            <w:shd w:fill="FFFFFF" w:val="clear"/>
          </w:tcPr>
          <w:p>
            <w:pPr>
              <w:jc w:val="center"/>
            </w:pPr>
            <w:r>
              <w:rPr>
                <w:b w:val="false"/>
                <w:bCs w:val="false"/>
                <w:sz w:val="19"/>
                <w:szCs w:val="19"/>
              </w:rPr>
              <w:t xml:space="preserve">0.570</w:t>
            </w:r>
          </w:p>
        </w:tc>
        <w:tc>
          <w:tcPr>
            <w:tcW w:type="dxa" w:w="3260"/>
            <w:shd w:fill="FFFFFF" w:val="clear"/>
          </w:tcPr>
          <w:p>
            <w:pPr>
              <w:jc w:val="center"/>
            </w:pPr>
            <w:r>
              <w:rPr>
                <w:b w:val="false"/>
                <w:bCs w:val="false"/>
                <w:sz w:val="19"/>
                <w:szCs w:val="19"/>
              </w:rPr>
              <w:t xml:space="preserve">IEI &gt; DIS</w:t>
            </w:r>
          </w:p>
        </w:tc>
      </w:tr>
      <w:tr>
        <w:tc>
          <w:tcPr>
            <w:tcW w:type="dxa" w:w="2400"/>
            <w:shd w:fill="F2F2F2" w:val="clear"/>
          </w:tcPr>
          <w:p>
            <w:pPr>
              <w:jc w:val="left"/>
            </w:pPr>
            <w:r>
              <w:rPr>
                <w:b/>
                <w:bCs/>
                <w:sz w:val="19"/>
                <w:szCs w:val="19"/>
              </w:rPr>
              <w:t xml:space="preserve">Catatumbo</w:t>
            </w:r>
          </w:p>
        </w:tc>
        <w:tc>
          <w:tcPr>
            <w:tcW w:type="dxa" w:w="900"/>
            <w:shd w:fill="F2F2F2" w:val="clear"/>
          </w:tcPr>
          <w:p>
            <w:pPr>
              <w:jc w:val="center"/>
            </w:pPr>
            <w:r>
              <w:rPr>
                <w:b w:val="false"/>
                <w:bCs w:val="false"/>
                <w:sz w:val="19"/>
                <w:szCs w:val="19"/>
              </w:rPr>
              <w:t xml:space="preserve">3</w:t>
            </w:r>
          </w:p>
        </w:tc>
        <w:tc>
          <w:tcPr>
            <w:tcW w:type="dxa" w:w="1400"/>
            <w:shd w:fill="F2F2F2" w:val="clear"/>
          </w:tcPr>
          <w:p>
            <w:pPr>
              <w:jc w:val="center"/>
            </w:pPr>
            <w:r>
              <w:rPr>
                <w:b w:val="false"/>
                <w:bCs w:val="false"/>
                <w:sz w:val="19"/>
                <w:szCs w:val="19"/>
              </w:rPr>
              <w:t xml:space="preserve">0.509</w:t>
            </w:r>
          </w:p>
        </w:tc>
        <w:tc>
          <w:tcPr>
            <w:tcW w:type="dxa" w:w="1400"/>
            <w:shd w:fill="F2F2F2" w:val="clear"/>
          </w:tcPr>
          <w:p>
            <w:pPr>
              <w:jc w:val="center"/>
            </w:pPr>
            <w:r>
              <w:rPr>
                <w:b w:val="false"/>
                <w:bCs w:val="false"/>
                <w:sz w:val="19"/>
                <w:szCs w:val="19"/>
              </w:rPr>
              <w:t xml:space="preserve">0.451</w:t>
            </w:r>
          </w:p>
        </w:tc>
        <w:tc>
          <w:tcPr>
            <w:tcW w:type="dxa" w:w="3260"/>
            <w:shd w:fill="F2F2F2" w:val="clear"/>
          </w:tcPr>
          <w:p>
            <w:pPr>
              <w:jc w:val="center"/>
            </w:pPr>
            <w:r>
              <w:rPr>
                <w:b w:val="false"/>
                <w:bCs w:val="false"/>
                <w:sz w:val="19"/>
                <w:szCs w:val="19"/>
              </w:rPr>
              <w:t xml:space="preserve">DIS &gt; IEI</w:t>
            </w:r>
          </w:p>
        </w:tc>
      </w:tr>
      <w:tr>
        <w:tc>
          <w:tcPr>
            <w:tcW w:type="dxa" w:w="2400"/>
            <w:shd w:fill="FFFFFF" w:val="clear"/>
          </w:tcPr>
          <w:p>
            <w:pPr>
              <w:jc w:val="left"/>
            </w:pPr>
            <w:r>
              <w:rPr>
                <w:b/>
                <w:bCs/>
                <w:sz w:val="19"/>
                <w:szCs w:val="19"/>
              </w:rPr>
              <w:t xml:space="preserve">Costa Caribe</w:t>
            </w:r>
          </w:p>
        </w:tc>
        <w:tc>
          <w:tcPr>
            <w:tcW w:type="dxa" w:w="900"/>
            <w:shd w:fill="FFFFFF" w:val="clear"/>
          </w:tcPr>
          <w:p>
            <w:pPr>
              <w:jc w:val="center"/>
            </w:pPr>
            <w:r>
              <w:rPr>
                <w:b w:val="false"/>
                <w:bCs w:val="false"/>
                <w:sz w:val="19"/>
                <w:szCs w:val="19"/>
              </w:rPr>
              <w:t xml:space="preserve">5</w:t>
            </w:r>
          </w:p>
        </w:tc>
        <w:tc>
          <w:tcPr>
            <w:tcW w:type="dxa" w:w="1400"/>
            <w:shd w:fill="FFFFFF" w:val="clear"/>
          </w:tcPr>
          <w:p>
            <w:pPr>
              <w:jc w:val="center"/>
            </w:pPr>
            <w:r>
              <w:rPr>
                <w:b w:val="false"/>
                <w:bCs w:val="false"/>
                <w:sz w:val="19"/>
                <w:szCs w:val="19"/>
              </w:rPr>
              <w:t xml:space="preserve">0.412</w:t>
            </w:r>
          </w:p>
        </w:tc>
        <w:tc>
          <w:tcPr>
            <w:tcW w:type="dxa" w:w="1400"/>
            <w:shd w:fill="FFFFFF" w:val="clear"/>
          </w:tcPr>
          <w:p>
            <w:pPr>
              <w:jc w:val="center"/>
            </w:pPr>
            <w:r>
              <w:rPr>
                <w:b w:val="false"/>
                <w:bCs w:val="false"/>
                <w:sz w:val="19"/>
                <w:szCs w:val="19"/>
              </w:rPr>
              <w:t xml:space="preserve">0.365</w:t>
            </w:r>
          </w:p>
        </w:tc>
        <w:tc>
          <w:tcPr>
            <w:tcW w:type="dxa" w:w="3260"/>
            <w:shd w:fill="FFFFFF" w:val="clear"/>
          </w:tcPr>
          <w:p>
            <w:pPr>
              <w:jc w:val="center"/>
            </w:pPr>
            <w:r>
              <w:rPr>
                <w:b w:val="false"/>
                <w:bCs w:val="false"/>
                <w:sz w:val="19"/>
                <w:szCs w:val="19"/>
              </w:rPr>
              <w:t xml:space="preserve">DIS &gt; IEI</w:t>
            </w:r>
          </w:p>
        </w:tc>
      </w:tr>
      <w:tr>
        <w:tc>
          <w:tcPr>
            <w:tcW w:type="dxa" w:w="2400"/>
            <w:shd w:fill="F2F2F2" w:val="clear"/>
          </w:tcPr>
          <w:p>
            <w:pPr>
              <w:jc w:val="left"/>
            </w:pPr>
            <w:r>
              <w:rPr>
                <w:b/>
                <w:bCs/>
                <w:sz w:val="19"/>
                <w:szCs w:val="19"/>
              </w:rPr>
              <w:t xml:space="preserve">Dabeiba</w:t>
            </w:r>
          </w:p>
        </w:tc>
        <w:tc>
          <w:tcPr>
            <w:tcW w:type="dxa" w:w="900"/>
            <w:shd w:fill="F2F2F2" w:val="clear"/>
          </w:tcPr>
          <w:p>
            <w:pPr>
              <w:jc w:val="center"/>
            </w:pPr>
            <w:r>
              <w:rPr>
                <w:b w:val="false"/>
                <w:bCs w:val="false"/>
                <w:sz w:val="19"/>
                <w:szCs w:val="19"/>
              </w:rPr>
              <w:t xml:space="preserve">12</w:t>
            </w:r>
          </w:p>
        </w:tc>
        <w:tc>
          <w:tcPr>
            <w:tcW w:type="dxa" w:w="1400"/>
            <w:shd w:fill="F2F2F2" w:val="clear"/>
          </w:tcPr>
          <w:p>
            <w:pPr>
              <w:jc w:val="center"/>
            </w:pPr>
            <w:r>
              <w:rPr>
                <w:b w:val="false"/>
                <w:bCs w:val="false"/>
                <w:sz w:val="19"/>
                <w:szCs w:val="19"/>
              </w:rPr>
              <w:t xml:space="preserve">0.402</w:t>
            </w:r>
          </w:p>
        </w:tc>
        <w:tc>
          <w:tcPr>
            <w:tcW w:type="dxa" w:w="1400"/>
            <w:shd w:fill="F2F2F2" w:val="clear"/>
          </w:tcPr>
          <w:p>
            <w:pPr>
              <w:jc w:val="center"/>
            </w:pPr>
            <w:r>
              <w:rPr>
                <w:b w:val="false"/>
                <w:bCs w:val="false"/>
                <w:sz w:val="19"/>
                <w:szCs w:val="19"/>
              </w:rPr>
              <w:t xml:space="preserve">0.370</w:t>
            </w:r>
          </w:p>
        </w:tc>
        <w:tc>
          <w:tcPr>
            <w:tcW w:type="dxa" w:w="3260"/>
            <w:shd w:fill="F2F2F2" w:val="clear"/>
          </w:tcPr>
          <w:p>
            <w:pPr>
              <w:jc w:val="center"/>
            </w:pPr>
            <w:r>
              <w:rPr>
                <w:b w:val="false"/>
                <w:bCs w:val="false"/>
                <w:sz w:val="19"/>
                <w:szCs w:val="19"/>
              </w:rPr>
              <w:t xml:space="preserve">DIS &gt; IEI</w:t>
            </w:r>
          </w:p>
        </w:tc>
      </w:tr>
      <w:tr>
        <w:tc>
          <w:tcPr>
            <w:tcW w:type="dxa" w:w="2400"/>
            <w:shd w:fill="FFFFFF" w:val="clear"/>
          </w:tcPr>
          <w:p>
            <w:pPr>
              <w:jc w:val="left"/>
            </w:pPr>
            <w:r>
              <w:rPr>
                <w:b/>
                <w:bCs/>
                <w:sz w:val="19"/>
                <w:szCs w:val="19"/>
              </w:rPr>
              <w:t xml:space="preserve">Huila</w:t>
            </w:r>
          </w:p>
        </w:tc>
        <w:tc>
          <w:tcPr>
            <w:tcW w:type="dxa" w:w="900"/>
            <w:shd w:fill="FFFFFF" w:val="clear"/>
          </w:tcPr>
          <w:p>
            <w:pPr>
              <w:jc w:val="center"/>
            </w:pPr>
            <w:r>
              <w:rPr>
                <w:b w:val="false"/>
                <w:bCs w:val="false"/>
                <w:sz w:val="19"/>
                <w:szCs w:val="19"/>
              </w:rPr>
              <w:t xml:space="preserve">26</w:t>
            </w:r>
          </w:p>
        </w:tc>
        <w:tc>
          <w:tcPr>
            <w:tcW w:type="dxa" w:w="1400"/>
            <w:shd w:fill="FFFFFF" w:val="clear"/>
          </w:tcPr>
          <w:p>
            <w:pPr>
              <w:jc w:val="center"/>
            </w:pPr>
            <w:r>
              <w:rPr>
                <w:b w:val="false"/>
                <w:bCs w:val="false"/>
                <w:sz w:val="19"/>
                <w:szCs w:val="19"/>
              </w:rPr>
              <w:t xml:space="preserve">0.369</w:t>
            </w:r>
          </w:p>
        </w:tc>
        <w:tc>
          <w:tcPr>
            <w:tcW w:type="dxa" w:w="1400"/>
            <w:shd w:fill="FFFFFF" w:val="clear"/>
          </w:tcPr>
          <w:p>
            <w:pPr>
              <w:jc w:val="center"/>
            </w:pPr>
            <w:r>
              <w:rPr>
                <w:b w:val="false"/>
                <w:bCs w:val="false"/>
                <w:sz w:val="19"/>
                <w:szCs w:val="19"/>
              </w:rPr>
              <w:t xml:space="preserve">0.354</w:t>
            </w:r>
          </w:p>
        </w:tc>
        <w:tc>
          <w:tcPr>
            <w:tcW w:type="dxa" w:w="3260"/>
            <w:shd w:fill="FFFFFF" w:val="clear"/>
          </w:tcPr>
          <w:p>
            <w:pPr>
              <w:jc w:val="center"/>
            </w:pPr>
            <w:r>
              <w:rPr>
                <w:b w:val="false"/>
                <w:bCs w:val="false"/>
                <w:sz w:val="19"/>
                <w:szCs w:val="19"/>
              </w:rPr>
              <w:t xml:space="preserve">DIS &gt; IEI</w:t>
            </w:r>
          </w:p>
        </w:tc>
      </w:tr>
    </w:tbl>
    <w:p>
      <w:pPr>
        <w:spacing w:after="120" w:line="276"/>
        <w:jc w:val="both"/>
      </w:pPr>
      <w:r>
        <w:rPr>
          <w:sz w:val="22"/>
          <w:szCs w:val="22"/>
        </w:rPr>
        <w:t xml:space="preserve">El análisis por subcaso es complementario del tri-corpus y plenamente coherente con él: la media ponderada de los 47 comparecientes reproduce exactamente los valores del Corpus C en la tabla anterior (DIS=0.394, IEI=0.370). El gradiente por rango militar es visible —Casanare (General Torres Escalante) encabeza ambos índices y Huila (soldados y suboficiales) presenta los valores más bajos—, si bien Casanare (n=1) y Catatumbo (n=3) deben leerse con la cautela que impone su reducido tamaño. Casanare presenta además el único patrón IEI&gt;DIS del corpus: un perfil donde la injusticia epistémica excede a la discursiva, coherente con su máxima distancia semántica al lenguaje de las víctimas. Huila (n=26) y Dabeiba (n=12), los subcasos con mayor número de comparecientes, ofrecen la evidencia más robusta y confirman el perfil de menor injusticia de los comparecientes de menor rango.</w:t>
      </w:r>
    </w:p>
    <w:p>
      <w:pPr>
        <w:pStyle w:val="Heading3"/>
        <w:spacing w:after="80" w:before="160"/>
      </w:pPr>
      <w:r>
        <w:rPr>
          <w:b/>
          <w:bCs/>
          <w:color w:val="1F3864"/>
          <w:sz w:val="23"/>
          <w:szCs w:val="23"/>
        </w:rPr>
        <w:t xml:space="preserve">5.13.3 Robustez del DIS agregado frente a sus componentes</w:t>
      </w:r>
    </w:p>
    <w:p>
      <w:pPr>
        <w:spacing w:after="120" w:line="276"/>
        <w:jc w:val="both"/>
      </w:pPr>
      <w:r>
        <w:rPr>
          <w:b/>
          <w:bCs/>
          <w:sz w:val="22"/>
          <w:szCs w:val="22"/>
        </w:rPr>
        <w:t>Una no-diferencia robusta, no un artefacto. El DIS Score, como índice agregado, no distingue significativamente la justicia ordinaria (A=0.510) de la justicia transicional escrita (B=0.498): la prueba de Mann-Whitney arroja p=0.0688. Este resultado se sometió a verificación sistemática bajo esquemas alternativos de normalización, incluido el cálculo sobre indicadores crudos —invariante ante cualquier transformación monótona—, que también arroja no-significancia. La ausencia de diferencia no es producto del esquema de normalización elegido, sino una propiedad de los datos: en el agregado, la distancia discursiva de superficie entre la justicia ordinaria y la JEP escrita no alcanza significancia estadística.</w:t>
      </w:r>
      <w:r>
        <w:rPr>
          <w:sz w:val="22"/>
          <w:szCs w:val="22"/>
        </w:rPr>
      </w:r>
    </w:p>
    <w:p>
      <w:pPr>
        <w:spacing w:after="120" w:line="276"/>
        <w:jc w:val="both"/>
      </w:pPr>
      <w:r>
        <w:rPr>
          <w:b/>
          <w:bCs/>
          <w:sz w:val="22"/>
          <w:szCs w:val="22"/>
        </w:rPr>
        <w:t xml:space="preserve">La causa: dilución por agregación. </w:t>
      </w:r>
      <w:r>
        <w:rPr>
          <w:sz w:val="22"/>
          <w:szCs w:val="22"/>
        </w:rPr>
        <w:t xml:space="preserve">El DIS agrega indicadores con comportamientos heterogéneos frente a la comparación A vs B: la Supresión de Agentividad (y₂), transversal al género jurídico (p=0.944); la Negación de Victimización (y₄), de efecto trivial; y la Ruptura Epistémica Positiva (y₁₀), que discrimina con fuerza (p&lt;0.001, d=0.61). Al promediar un indicador no discriminante con uno fuertemente discriminante, el índice compuesto diluye la señal. La no-significancia del DIS agregado es, por tanto, un efecto de agregación, no la ausencia de una transición discursiva.</w:t>
      </w:r>
    </w:p>
    <w:p>
      <w:pPr>
        <w:spacing w:after="120" w:line="276"/>
        <w:jc w:val="both"/>
      </w:pPr>
      <w:r>
        <w:rPr>
          <w:b/>
          <w:bCs/>
          <w:sz w:val="22"/>
          <w:szCs w:val="22"/>
        </w:rPr>
        <w:t xml:space="preserve">Reorientación del hallazgo. </w:t>
      </w:r>
      <w:r>
        <w:rPr>
          <w:sz w:val="22"/>
          <w:szCs w:val="22"/>
        </w:rPr>
        <w:t xml:space="preserve">Este diagnóstico precisa la contribución del framework: su aporte no es un índice discursivo global que separe los corpus, sino la capacidad de identificar qué dimensiones específicas de la injusticia constituyen la signatura medible de la transición. La Ruptura Epistémica Positiva (y₁₀) y la cercanía semántica al lenguaje de las víctimas, sintetizada en el IEI, son los marcadores que distinguen significativamente los dos sistemas; el DIS agregado, en cambio, no lo hace.</w:t>
      </w:r>
    </w:p>
    <w:p>
      <w:pPr>
        <w:pStyle w:val="Heading3"/>
        <w:spacing w:after="80" w:before="160"/>
      </w:pPr>
      <w:r>
        <w:rPr>
          <w:b/>
          <w:bCs/>
          <w:color w:val="1F3864"/>
          <w:sz w:val="23"/>
          <w:szCs w:val="23"/>
        </w:rPr>
        <w:t xml:space="preserve">5.13.4 Las tres dimensiones: independencia de DIS, IEI e ICM</w:t>
      </w:r>
    </w:p>
    <w:p>
      <w:pPr>
        <w:spacing w:after="60" w:before="60"/>
      </w:pPr>
      <w:r>
        <w:rPr>
          <w:i/>
          <w:iCs/>
          <w:color w:val="595959"/>
          <w:sz w:val="19"/>
          <w:szCs w:val="19"/>
        </w:rPr>
        <w:t xml:space="preserve">Tabla 5.11. Correlaciones (Spearman) entre los tres índices sintéticos. ICM disponible solo en el Corpus C (n=47).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160"/>
        <w:gridCol w:w="4000"/>
      </w:tblGrid>
      <w:tr>
        <w:trPr>
          <w:tblHeader/>
        </w:trPr>
        <w:tc>
          <w:tcPr>
            <w:tcW w:type="dxa" w:w="3200"/>
            <w:shd w:fill="1F3864" w:val="clear"/>
          </w:tcPr>
          <w:p>
            <w:pPr>
              <w:jc w:val="center"/>
            </w:pPr>
            <w:r>
              <w:rPr>
                <w:b/>
                <w:bCs/>
                <w:color w:val="FFFFFF"/>
                <w:sz w:val="19"/>
                <w:szCs w:val="19"/>
              </w:rPr>
              <w:t xml:space="preserve">Par de índices</w:t>
            </w:r>
          </w:p>
        </w:tc>
        <w:tc>
          <w:tcPr>
            <w:tcW w:type="dxa" w:w="2160"/>
            <w:shd w:fill="1F3864" w:val="clear"/>
          </w:tcPr>
          <w:p>
            <w:pPr>
              <w:jc w:val="center"/>
            </w:pPr>
            <w:r>
              <w:rPr>
                <w:b/>
                <w:bCs/>
                <w:color w:val="FFFFFF"/>
                <w:sz w:val="19"/>
                <w:szCs w:val="19"/>
              </w:rPr>
              <w:t xml:space="preserve">ρ (Spearman)</w:t>
            </w:r>
          </w:p>
        </w:tc>
        <w:tc>
          <w:tcPr>
            <w:tcW w:type="dxa" w:w="4000"/>
            <w:shd w:fill="1F3864" w:val="clear"/>
          </w:tcPr>
          <w:p>
            <w:pPr>
              <w:jc w:val="center"/>
            </w:pPr>
            <w:r>
              <w:rPr>
                <w:b/>
                <w:bCs/>
                <w:color w:val="FFFFFF"/>
                <w:sz w:val="19"/>
                <w:szCs w:val="19"/>
              </w:rPr>
              <w:t xml:space="preserve">Interpretación</w:t>
            </w:r>
          </w:p>
        </w:tc>
      </w:tr>
      <w:tr>
        <w:tc>
          <w:tcPr>
            <w:tcW w:type="dxa" w:w="3200"/>
            <w:shd w:fill="FFFFFF" w:val="clear"/>
          </w:tcPr>
          <w:p>
            <w:pPr>
              <w:jc w:val="left"/>
            </w:pPr>
            <w:r>
              <w:rPr>
                <w:b/>
                <w:bCs/>
                <w:sz w:val="19"/>
                <w:szCs w:val="19"/>
              </w:rPr>
              <w:t xml:space="preserve">DIS – IEI (A+B+C)</w:t>
            </w:r>
          </w:p>
        </w:tc>
        <w:tc>
          <w:tcPr>
            <w:tcW w:type="dxa" w:w="2160"/>
            <w:shd w:fill="FFFFFF" w:val="clear"/>
          </w:tcPr>
          <w:p>
            <w:pPr>
              <w:jc w:val="center"/>
            </w:pPr>
            <w:r>
              <w:rPr>
                <w:b w:val="false"/>
                <w:bCs w:val="false"/>
                <w:sz w:val="19"/>
                <w:szCs w:val="19"/>
              </w:rPr>
              <w:t xml:space="preserve">0.164</w:t>
            </w:r>
          </w:p>
        </w:tc>
        <w:tc>
          <w:tcPr>
            <w:tcW w:type="dxa" w:w="4000"/>
            <w:shd w:fill="FFFFFF" w:val="clear"/>
          </w:tcPr>
          <w:p>
            <w:pPr>
              <w:jc w:val="center"/>
            </w:pPr>
            <w:r>
              <w:rPr>
                <w:b w:val="false"/>
                <w:bCs w:val="false"/>
                <w:sz w:val="19"/>
                <w:szCs w:val="19"/>
              </w:rPr>
              <w:t xml:space="preserve">dimensiones distintas</w:t>
            </w:r>
          </w:p>
        </w:tc>
      </w:tr>
      <w:tr>
        <w:tc>
          <w:tcPr>
            <w:tcW w:type="dxa" w:w="3200"/>
            <w:shd w:fill="F2F2F2" w:val="clear"/>
          </w:tcPr>
          <w:p>
            <w:pPr>
              <w:jc w:val="left"/>
            </w:pPr>
            <w:r>
              <w:rPr>
                <w:b/>
                <w:bCs/>
                <w:sz w:val="19"/>
                <w:szCs w:val="19"/>
              </w:rPr>
              <w:t xml:space="preserve">DIS – ICM (C)</w:t>
            </w:r>
          </w:p>
        </w:tc>
        <w:tc>
          <w:tcPr>
            <w:tcW w:type="dxa" w:w="2160"/>
            <w:shd w:fill="F2F2F2" w:val="clear"/>
          </w:tcPr>
          <w:p>
            <w:pPr>
              <w:jc w:val="center"/>
            </w:pPr>
            <w:r>
              <w:rPr>
                <w:b w:val="false"/>
                <w:bCs w:val="false"/>
                <w:sz w:val="19"/>
                <w:szCs w:val="19"/>
              </w:rPr>
              <w:t xml:space="preserve">−0.193</w:t>
            </w:r>
          </w:p>
        </w:tc>
        <w:tc>
          <w:tcPr>
            <w:tcW w:type="dxa" w:w="4000"/>
            <w:shd w:fill="F2F2F2" w:val="clear"/>
          </w:tcPr>
          <w:p>
            <w:pPr>
              <w:jc w:val="center"/>
            </w:pPr>
            <w:r>
              <w:rPr>
                <w:b w:val="false"/>
                <w:bCs w:val="false"/>
                <w:sz w:val="19"/>
                <w:szCs w:val="19"/>
              </w:rPr>
              <w:t xml:space="preserve">dimensiones distintas</w:t>
            </w:r>
          </w:p>
        </w:tc>
      </w:tr>
      <w:tr>
        <w:tc>
          <w:tcPr>
            <w:tcW w:type="dxa" w:w="3200"/>
            <w:shd w:fill="FFFFFF" w:val="clear"/>
          </w:tcPr>
          <w:p>
            <w:pPr>
              <w:jc w:val="left"/>
            </w:pPr>
            <w:r>
              <w:rPr>
                <w:b/>
                <w:bCs/>
                <w:sz w:val="19"/>
                <w:szCs w:val="19"/>
              </w:rPr>
              <w:t xml:space="preserve">IEI – ICM (C)</w:t>
            </w:r>
          </w:p>
        </w:tc>
        <w:tc>
          <w:tcPr>
            <w:tcW w:type="dxa" w:w="2160"/>
            <w:shd w:fill="FFFFFF" w:val="clear"/>
          </w:tcPr>
          <w:p>
            <w:pPr>
              <w:jc w:val="center"/>
            </w:pPr>
            <w:r>
              <w:rPr>
                <w:b w:val="false"/>
                <w:bCs w:val="false"/>
                <w:sz w:val="19"/>
                <w:szCs w:val="19"/>
              </w:rPr>
              <w:t xml:space="preserve">−0.113</w:t>
            </w:r>
          </w:p>
        </w:tc>
        <w:tc>
          <w:tcPr>
            <w:tcW w:type="dxa" w:w="4000"/>
            <w:shd w:fill="FFFFFF" w:val="clear"/>
          </w:tcPr>
          <w:p>
            <w:pPr>
              <w:jc w:val="center"/>
            </w:pPr>
            <w:r>
              <w:rPr>
                <w:b w:val="false"/>
                <w:bCs w:val="false"/>
                <w:sz w:val="19"/>
                <w:szCs w:val="19"/>
              </w:rPr>
              <w:t xml:space="preserve">dimensiones distintas</w:t>
            </w:r>
          </w:p>
        </w:tc>
      </w:tr>
    </w:tbl>
    <w:p>
      <w:pPr>
        <w:spacing w:after="120" w:line="276"/>
        <w:jc w:val="both"/>
      </w:pPr>
      <w:r>
        <w:rPr>
          <w:sz w:val="22"/>
          <w:szCs w:val="22"/>
        </w:rPr>
        <w:t xml:space="preserve">La matriz de correlaciones entre los tres índices sintéticos aporta la evidencia cuantitativa del carácter multidimensional del framework: ninguna correlación supera 0.20 en valor absoluto. DIS, IEI e ICM capturan fenómenos empíricamente independientes —discursivo, epistémico y multimodal, respectivamente— y no son medidas redundantes de una única injusticia subyacente. Esta independencia valida la arquitectura de tres índices: si las dimensiones fueran redundantes, correlacionarían fuertemente; si una determinara a la otra, un modelo causal ajustaría. El análisis estructural (§5.18) confirma que no ocurre ni lo uno ni lo otro.</w:t>
      </w:r>
    </w:p>
    <w:p>
      <w:pPr>
        <w:pStyle w:val="Heading3"/>
        <w:spacing w:after="80" w:before="160"/>
      </w:pPr>
      <w:r>
        <w:rPr>
          <w:b/>
          <w:bCs/>
          <w:color w:val="1F3864"/>
          <w:sz w:val="23"/>
          <w:szCs w:val="23"/>
        </w:rPr>
        <w:t>5.13.5 El registro bélico-institucional: surprisal contrastivo (y₇)</w:t>
      </w:r>
    </w:p>
    <w:p>
      <w:pPr>
        <w:spacing w:after="120" w:line="276"/>
        <w:jc w:val="both"/>
      </w:pPr>
      <w:r>
        <w:rPr>
          <w:sz w:val="22"/>
          <w:szCs w:val="22"/>
        </w:rPr>
        <w:t>Como análisis descriptivo complementario a los índices, se examina el surprisal contrastivo (y₇), definido como la diferencia de pseudo-log-verosimilitud por token entre BETO (modelo de español general) y ConfliBERT-Spanish (modelo de conflicto y violencia política): y₇ = PLL_BETO − PLL_ConfliBERT. Un valor más negativo indica un texto más predecible para el modelo de conflicto, es decir, un registro más característico del lenguaje bélico-institucional. A diferencia de los indicadores que componen los índices DIS e IEI, el surprisal no forma parte del esquema de anotación de la Capa 1 (EBI, SA, NV, REP): mide el registro global del texto de forma no supervisada, por lo que se reporta como una caracterización descriptiva del corpus y no como componente de un índice sintético.</w:t>
      </w:r>
    </w:p>
    <w:p>
      <w:pPr>
        <w:spacing w:after="60" w:before="60"/>
      </w:pPr>
      <w:r>
        <w:rPr>
          <w:i/>
          <w:iCs/>
          <w:color w:val="595959"/>
          <w:sz w:val="19"/>
          <w:szCs w:val="19"/>
        </w:rPr>
        <w:t>Tabla 5.12. Surprisal contrastivo (y₇) por corpus, sobre las unidades reales del pipeline (n=946).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1900"/>
        <w:gridCol w:w="1900"/>
        <w:gridCol w:w="2000"/>
      </w:tblGrid>
      <w:tr>
        <w:trPr>
          <w:tblHeader/>
        </w:trPr>
        <w:tc>
          <w:tcPr>
            <w:tcW w:type="dxa" w:w="3560"/>
            <w:shd w:fill="1F3864" w:val="clear"/>
          </w:tcPr>
          <w:p>
            <w:pPr>
              <w:jc w:val="center"/>
            </w:pPr>
            <w:r>
              <w:rPr>
                <w:b/>
                <w:bCs/>
                <w:color w:val="FFFFFF"/>
                <w:sz w:val="19"/>
                <w:szCs w:val="19"/>
              </w:rPr>
              <w:t>Corpus</w:t>
            </w:r>
          </w:p>
        </w:tc>
        <w:tc>
          <w:tcPr>
            <w:tcW w:type="dxa" w:w="1900"/>
            <w:shd w:fill="1F3864" w:val="clear"/>
          </w:tcPr>
          <w:p>
            <w:pPr>
              <w:jc w:val="center"/>
            </w:pPr>
            <w:r>
              <w:rPr>
                <w:b/>
                <w:bCs/>
                <w:color w:val="FFFFFF"/>
                <w:sz w:val="19"/>
                <w:szCs w:val="19"/>
              </w:rPr>
              <w:t>n</w:t>
            </w:r>
          </w:p>
        </w:tc>
        <w:tc>
          <w:tcPr>
            <w:tcW w:type="dxa" w:w="1900"/>
            <w:shd w:fill="1F3864" w:val="clear"/>
          </w:tcPr>
          <w:p>
            <w:pPr>
              <w:jc w:val="center"/>
            </w:pPr>
            <w:r>
              <w:rPr>
                <w:b/>
                <w:bCs/>
                <w:color w:val="FFFFFF"/>
                <w:sz w:val="19"/>
                <w:szCs w:val="19"/>
              </w:rPr>
              <w:t>Surprisal y7</w:t>
            </w:r>
          </w:p>
        </w:tc>
        <w:tc>
          <w:tcPr>
            <w:tcW w:type="dxa" w:w="2000"/>
            <w:shd w:fill="1F3864" w:val="clear"/>
          </w:tcPr>
          <w:p>
            <w:pPr>
              <w:jc w:val="center"/>
            </w:pPr>
            <w:r>
              <w:rPr>
                <w:b/>
                <w:bCs/>
                <w:color w:val="FFFFFF"/>
                <w:sz w:val="19"/>
                <w:szCs w:val="19"/>
              </w:rPr>
              <w:t>Registro</w:t>
            </w:r>
          </w:p>
        </w:tc>
      </w:tr>
      <w:tr>
        <w:tc>
          <w:tcPr>
            <w:tcW w:type="dxa" w:w="3560"/>
            <w:shd w:fill="FFFFFF" w:val="clear"/>
          </w:tcPr>
          <w:p>
            <w:pPr>
              <w:jc w:val="left"/>
            </w:pPr>
            <w:r>
              <w:rPr>
                <w:b w:val="0"/>
                <w:bCs/>
                <w:sz w:val="19"/>
                <w:szCs w:val="19"/>
              </w:rPr>
              <w:t>A - justicia ordinaria</w:t>
            </w:r>
          </w:p>
        </w:tc>
        <w:tc>
          <w:tcPr>
            <w:tcW w:type="dxa" w:w="1900"/>
            <w:shd w:fill="FFFFFF" w:val="clear"/>
          </w:tcPr>
          <w:p>
            <w:pPr>
              <w:jc w:val="center"/>
            </w:pPr>
            <w:r>
              <w:rPr>
                <w:b w:val="0"/>
                <w:bCs w:val="false"/>
                <w:sz w:val="19"/>
                <w:szCs w:val="19"/>
              </w:rPr>
              <w:t>819</w:t>
            </w:r>
          </w:p>
        </w:tc>
        <w:tc>
          <w:tcPr>
            <w:tcW w:type="dxa" w:w="1900"/>
            <w:shd w:fill="FFFFFF" w:val="clear"/>
          </w:tcPr>
          <w:p>
            <w:pPr>
              <w:jc w:val="center"/>
            </w:pPr>
            <w:r>
              <w:rPr>
                <w:b w:val="0"/>
                <w:bCs w:val="false"/>
                <w:sz w:val="19"/>
                <w:szCs w:val="19"/>
              </w:rPr>
              <w:t>-0.542</w:t>
            </w:r>
          </w:p>
        </w:tc>
        <w:tc>
          <w:tcPr>
            <w:tcW w:type="dxa" w:w="2000"/>
            <w:shd w:fill="FFFFFF" w:val="clear"/>
          </w:tcPr>
          <w:p>
            <w:pPr>
              <w:jc w:val="center"/>
            </w:pPr>
            <w:r>
              <w:rPr>
                <w:b w:val="0"/>
                <w:bCs w:val="false"/>
                <w:sz w:val="19"/>
                <w:szCs w:val="19"/>
              </w:rPr>
              <w:t>mas belico</w:t>
            </w:r>
          </w:p>
        </w:tc>
      </w:tr>
      <w:tr>
        <w:tc>
          <w:tcPr>
            <w:tcW w:type="dxa" w:w="3560"/>
            <w:shd w:fill="F2F2F2" w:val="clear"/>
          </w:tcPr>
          <w:p>
            <w:pPr>
              <w:jc w:val="left"/>
            </w:pPr>
            <w:r>
              <w:rPr>
                <w:b w:val="0"/>
                <w:bCs/>
                <w:sz w:val="19"/>
                <w:szCs w:val="19"/>
              </w:rPr>
              <w:t>B - JEP escrita</w:t>
            </w:r>
          </w:p>
        </w:tc>
        <w:tc>
          <w:tcPr>
            <w:tcW w:type="dxa" w:w="1900"/>
            <w:shd w:fill="F2F2F2" w:val="clear"/>
          </w:tcPr>
          <w:p>
            <w:pPr>
              <w:jc w:val="center"/>
            </w:pPr>
            <w:r>
              <w:rPr>
                <w:b w:val="0"/>
                <w:bCs w:val="false"/>
                <w:sz w:val="19"/>
                <w:szCs w:val="19"/>
              </w:rPr>
              <w:t>80</w:t>
            </w:r>
          </w:p>
        </w:tc>
        <w:tc>
          <w:tcPr>
            <w:tcW w:type="dxa" w:w="1900"/>
            <w:shd w:fill="F2F2F2" w:val="clear"/>
          </w:tcPr>
          <w:p>
            <w:pPr>
              <w:jc w:val="center"/>
            </w:pPr>
            <w:r>
              <w:rPr>
                <w:b w:val="0"/>
                <w:bCs w:val="false"/>
                <w:sz w:val="19"/>
                <w:szCs w:val="19"/>
              </w:rPr>
              <w:t>-0.383</w:t>
            </w:r>
          </w:p>
        </w:tc>
        <w:tc>
          <w:tcPr>
            <w:tcW w:type="dxa" w:w="2000"/>
            <w:shd w:fill="F2F2F2" w:val="clear"/>
          </w:tcPr>
          <w:p>
            <w:pPr>
              <w:jc w:val="center"/>
            </w:pPr>
            <w:r>
              <w:rPr>
                <w:b w:val="0"/>
                <w:bCs w:val="false"/>
                <w:sz w:val="19"/>
                <w:szCs w:val="19"/>
              </w:rPr>
              <w:t>intermedio</w:t>
            </w:r>
          </w:p>
        </w:tc>
      </w:tr>
      <w:tr>
        <w:tc>
          <w:tcPr>
            <w:tcW w:type="dxa" w:w="3560"/>
            <w:shd w:fill="FFFFFF" w:val="clear"/>
          </w:tcPr>
          <w:p>
            <w:pPr>
              <w:jc w:val="left"/>
            </w:pPr>
            <w:r>
              <w:rPr>
                <w:b w:val="0"/>
                <w:bCs/>
                <w:sz w:val="19"/>
                <w:szCs w:val="19"/>
              </w:rPr>
              <w:t>C - JEP oral</w:t>
            </w:r>
          </w:p>
        </w:tc>
        <w:tc>
          <w:tcPr>
            <w:tcW w:type="dxa" w:w="1900"/>
            <w:shd w:fill="FFFFFF" w:val="clear"/>
          </w:tcPr>
          <w:p>
            <w:pPr>
              <w:jc w:val="center"/>
            </w:pPr>
            <w:r>
              <w:rPr>
                <w:b w:val="0"/>
                <w:bCs w:val="false"/>
                <w:sz w:val="19"/>
                <w:szCs w:val="19"/>
              </w:rPr>
              <w:t>47</w:t>
            </w:r>
          </w:p>
        </w:tc>
        <w:tc>
          <w:tcPr>
            <w:tcW w:type="dxa" w:w="1900"/>
            <w:shd w:fill="FFFFFF" w:val="clear"/>
          </w:tcPr>
          <w:p>
            <w:pPr>
              <w:jc w:val="center"/>
            </w:pPr>
            <w:r>
              <w:rPr>
                <w:b w:val="0"/>
                <w:bCs w:val="false"/>
                <w:sz w:val="19"/>
                <w:szCs w:val="19"/>
              </w:rPr>
              <w:t>-0.142</w:t>
            </w:r>
          </w:p>
        </w:tc>
        <w:tc>
          <w:tcPr>
            <w:tcW w:type="dxa" w:w="2000"/>
            <w:shd w:fill="FFFFFF" w:val="clear"/>
          </w:tcPr>
          <w:p>
            <w:pPr>
              <w:jc w:val="center"/>
            </w:pPr>
            <w:r>
              <w:rPr>
                <w:b w:val="0"/>
                <w:bCs w:val="false"/>
                <w:sz w:val="19"/>
                <w:szCs w:val="19"/>
              </w:rPr>
              <w:t>menos belico</w:t>
            </w:r>
          </w:p>
        </w:tc>
      </w:tr>
    </w:tbl>
    <w:p>
      <w:pPr>
        <w:spacing w:after="120" w:line="276"/>
        <w:jc w:val="both"/>
      </w:pPr>
      <w:r>
        <w:rPr>
          <w:sz w:val="22"/>
          <w:szCs w:val="22"/>
        </w:rPr>
        <w:t>El surprisal contrastivo revela un gradiente monotónico a través de los tres corpus: A=−0.542 (justicia ordinaria), B=−0.383 (JEP escrita) y C=−0.142 (JEP oral). Este ordenamiento es consistente con una des-militarización progresiva del registro: el lenguaje de la justicia ordinaria es el más característico del registro bélico-institucional del conflicto, la JEP escrita lo modera, y las audiencias orales —donde los comparecientes se dirigen directamente a las víctimas— presentan el registro más alejado del vocabulario del conflicto. La regularidad del gradiente a través de los tres corpus evidencia un patrón robusto y direccionalmente coherente. La diferencia entre la justicia ordinaria y la JEP escrita se sitúa muy próxima al umbral convencional de significancia (p=0.057), en un análisis focalizado sobre el corpus judicial del Macrocaso 003; la consistencia del gradiente en los tres corpus respalda la solidez del patrón de des-militarización como hallazgo descriptivo.</w:t>
      </w:r>
    </w:p>
    <w:p>
      <w:pPr>
        <w:spacing w:after="120" w:line="276"/>
        <w:jc w:val="both"/>
      </w:pPr>
      <w:r>
        <w:rPr>
          <w:sz w:val="22"/>
          <w:szCs w:val="22"/>
        </w:rPr>
        <w:t>El surprisal contrastivo es empíricamente independiente de los índices sintéticos: su correlación de Spearman con el DIS es baja (ρ=−0.18) y con el IEI prácticamente nula (ρ=+0.06), así como con cada uno de los indicadores anotados (|ρ|&lt;0.24). Esta independencia confirma que el registro bélico-institucional global constituye una dimensión discursiva propia, distinta tanto de los mecanismos de encubrimiento de superficie que componen el DIS como de la injusticia epistémica que compone el IEI.</w:t>
      </w:r>
    </w:p>
    <w:p>
      <w:pPr>
        <w:spacing w:after="120" w:line="276"/>
        <w:jc w:val="both"/>
      </w:pPr>
      <w:r>
        <w:rPr>
          <w:sz w:val="22"/>
          <w:szCs w:val="22"/>
        </w:rPr>
        <w:t>Este hallazgo ilumina la relación entre el DIS y el IEI. El DIS agregado no distingue significativamente la justicia ordinaria de la JEP escrita (p=0.0688): los mecanismos de encubrimiento anotados son en buena medida transversales al género jurídico. El surprisal muestra, sin embargo, que sí existe una dimensión discursiva-global que ordena los corpus según su registro bélico —una diferencia que los indicadores de superficie anotados no capturan porque operan sobre ocurrencias léxicas discretas, no sobre el registro estadístico del texto. La brecha entre sistemas de justicia se manifiesta, por tanto, en dos planos complementarios: el epistémico (IEI, que discrimina con fuerza) y el del registro global (surprisal, gradiente A→B→C), mientras que los mecanismos discursivos de superficie anotados (DIS) resultan compartidos. A título exploratorio, la incorporación del surprisal al DIS lo haría discriminar la justicia ordinaria de la transicional; no obstante, dado que el surprisal mide un constructo distinto —el registro global y no los mecanismos de encubrimiento anotados— y que no formó parte del proceso de anotación, se mantiene deliberadamente como análisis descriptivo independiente, preservando la limpieza conceptual de los índices.</w:t>
      </w:r>
    </w:p>
    <w:p>
      <w:pPr>
        <w:pStyle w:val="Heading2"/>
        <w:spacing w:after="100" w:before="200"/>
      </w:pPr>
      <w:r>
        <w:rPr>
          <w:b/>
          <w:bCs/>
          <w:color w:val="1F3864"/>
          <w:sz w:val="26"/>
          <w:szCs w:val="26"/>
        </w:rPr>
        <w:t xml:space="preserve">5.14 Indicadores Beach (2021): registro léxico, verbos atributivos y evidenciales</w:t>
      </w:r>
    </w:p>
    <w:p>
      <w:pPr>
        <w:spacing w:after="120" w:line="276"/>
        <w:jc w:val="both"/>
      </w:pPr>
      <w:r>
        <w:rPr>
          <w:b/>
          <w:bCs/>
          <w:sz w:val="22"/>
          <w:szCs w:val="22"/>
        </w:rPr>
        <w:t xml:space="preserve">Indicadores léxico-sintácticos. </w:t>
      </w:r>
      <w:r>
        <w:rPr>
          <w:sz w:val="22"/>
          <w:szCs w:val="22"/>
        </w:rPr>
        <w:t xml:space="preserve">Los tres indicadores de Beach et al. (2021) —quotes/registro léxico (y₁₁), verbos atributivos (y₁₂) y evidenciales (y₁₃)— operacionalizan la injusticia testimonial en el nivel léxico-sintáctico, complementando los indicadores semánticos y₈/y₉. Los tres son estadísticamente significativos entre Corpus A y B (p&lt;0.001, Mann-Whitney U bilateral). El hallazgo más robusto es y₁₂ verbos atributivos: A=0.270 vs B=0.058 (4,6× mayor en la justicia ordinaria), que usa significativamente más verbos de baja credibilidad —«alegó», «adujo», «supuestamente»— para referirse a las declaraciones de las víctimas, incorporando el descuento de credibilidad directamente en la gramática del relato judicial.</w:t>
      </w:r>
    </w:p>
    <w:p>
      <w:pPr>
        <w:spacing w:after="120" w:line="276"/>
        <w:jc w:val="both"/>
      </w:pPr>
      <w:r>
        <w:rPr>
          <w:b/>
          <w:bCs/>
          <w:sz w:val="22"/>
          <w:szCs w:val="22"/>
        </w:rPr>
        <w:t xml:space="preserve">Disociación léxico-semántica en Catatumbo. </w:t>
      </w:r>
      <w:r>
        <w:rPr>
          <w:sz w:val="22"/>
          <w:szCs w:val="22"/>
        </w:rPr>
        <w:t xml:space="preserve">Para el Corpus C oral, y₁₁ se operacionaliza como registro léxico MAFAPO frente a militar. Los resultados revelan una disociación de dos niveles en Catatumbo: el Capitán Chaparro usa vocabulario del campo semántico de las víctimas en superficie (proporción MAFAPO=0.736, el segundo más alto) pero su discurso, medido a nivel de embedding profundo, permanece el más distante del centroide MAFAPO (y₈=0.179). Adopta el vocabulario superficial de los recursos hermenéuticos de las víctimas sin adoptar su estructura semántica subyacente. Esta disociación léxico-semántica es el hallazgo más sofisticado del análisis verbal del Corpus C, y refuerza por una vía independiente la disociación DIS-IEI documentada en §5.13.</w:t>
      </w:r>
    </w:p>
    <w:p>
      <w:pPr>
        <w:pStyle w:val="Heading2"/>
        <w:spacing w:after="100" w:before="200"/>
      </w:pPr>
      <w:r>
        <w:rPr>
          <w:b/>
          <w:bCs/>
          <w:color w:val="1F3864"/>
          <w:sz w:val="26"/>
          <w:szCs w:val="26"/>
        </w:rPr>
        <w:t xml:space="preserve">5.15 Integración del canal verbal en el ICM</w:t>
      </w:r>
    </w:p>
    <w:p>
      <w:pPr>
        <w:spacing w:after="120" w:line="276"/>
        <w:jc w:val="both"/>
      </w:pPr>
      <w:r>
        <w:rPr>
          <w:sz w:val="22"/>
          <w:szCs w:val="22"/>
        </w:rPr>
        <w:t xml:space="preserve">El canal verbal del ICM se opera mediante el indicador REP (y₁₀) como proporción del discurso reparador, una reformulación que aísla la disposición reparadora del compareciente del factor exógeno de la duración de su intervención —determinada institucionalmente por la JEP. Esta operacionalización reconoce que la corrección hermenéutica tiene dos dimensiones potencialmente disociables: la adopción del vocabulario de las víctimas en superficie (capturada por los indicadores Beach) y la adopción de su estructura semántica profunda (capturada por la distancia de embedding y₈). El caso de Chaparro en Catatumbo muestra que ambas pueden divergir, lo que justifica mantener el canal verbal con un peso moderado (0.20) dentro del ICM: es informativo, pero su contenido semántico ya queda parcialmente capturado por los índices DIS e IEI.</w:t>
      </w:r>
    </w:p>
    <w:p>
      <w:pPr>
        <w:pStyle w:val="Heading2"/>
        <w:spacing w:after="100" w:before="200"/>
      </w:pPr>
      <w:r>
        <w:rPr>
          <w:b/>
          <w:bCs/>
          <w:color w:val="1F3864"/>
          <w:sz w:val="26"/>
          <w:szCs w:val="26"/>
        </w:rPr>
        <w:t xml:space="preserve">5.16 Validación de robustez de los pesos del ICM tri-canal</w:t>
      </w:r>
    </w:p>
    <w:p>
      <w:pPr>
        <w:spacing w:after="120" w:line="276"/>
        <w:jc w:val="both"/>
      </w:pPr>
      <w:r>
        <w:rPr>
          <w:b/>
          <w:bCs/>
          <w:sz w:val="22"/>
          <w:szCs w:val="22"/>
        </w:rPr>
        <w:t xml:space="preserve">Procedimiento. </w:t>
      </w:r>
      <w:r>
        <w:rPr>
          <w:sz w:val="22"/>
          <w:szCs w:val="22"/>
        </w:rPr>
        <w:t xml:space="preserve">Dado que el ICM compone los tres canales con pesos fijos (0.40 facial / 0.40 vocal / 0.20 verbal), la estabilidad del ordenamiento de comparecientes ante esa elección se evalúa mediante simulación Monte Carlo (5.000 simulaciones por modo), calculando el coeficiente de concordancia de rangos Kendall τ entre el ranking resultante y el de referencia, con umbral de robustez τ≥0.80.</w:t>
      </w:r>
    </w:p>
    <w:p>
      <w:pPr>
        <w:spacing w:after="120" w:line="276"/>
        <w:jc w:val="both"/>
      </w:pPr>
      <w:r>
        <w:rPr>
          <w:b/>
          <w:bCs/>
          <w:sz w:val="22"/>
          <w:szCs w:val="22"/>
        </w:rPr>
        <w:t xml:space="preserve">Resultados. </w:t>
      </w:r>
      <w:r>
        <w:rPr>
          <w:sz w:val="22"/>
          <w:szCs w:val="22"/>
        </w:rPr>
        <w:t xml:space="preserve">Bajo perturbación local de los pesos (±0.10 alrededor de la referencia), el 97,7% de las simulaciones mantiene τ≥0.80, con τ medio de 0.908: el ordenamiento de comparecientes es robusto a la elección razonable de pesos. Bajo exploración del espacio completo, la concordancia desciende (15,7%), lo que revela que el canal facial es el más informativo del índice: su eliminación reordena sustancialmente el ranking (τ=0.233), mientras que los esquemas que lo conservan permanecen robustos (τ&gt;0.85). Los pesos 0.40/0.40/0.20 se ubican en la región estable del espacio de configuraciones.</w:t>
      </w:r>
    </w:p>
    <w:p>
      <w:pPr>
        <w:pStyle w:val="Heading2"/>
        <w:spacing w:after="100" w:before="200"/>
      </w:pPr>
      <w:r>
        <w:rPr>
          <w:b/>
          <w:bCs/>
          <w:color w:val="1F3864"/>
          <w:sz w:val="26"/>
          <w:szCs w:val="26"/>
        </w:rPr>
        <w:t xml:space="preserve">5.17 Fiabilidad inter-anotador (IAA)</w:t>
      </w:r>
    </w:p>
    <w:p>
      <w:pPr>
        <w:spacing w:after="120" w:line="276"/>
        <w:jc w:val="both"/>
      </w:pPr>
      <w:r>
        <w:rPr>
          <w:sz w:val="22"/>
          <w:szCs w:val="22"/>
        </w:rPr>
        <w:t xml:space="preserve">La fiabilidad de la anotación que sustenta los indicadores léxicos (EBI, SA, NV, REP) se evaluó mediante el coeficiente κ de Cohen sobre 100 fragmentos anotados independientemente por dos anotadores, en dos rondas. El protocolo de anotación se detalla en el Capítulo 4.</w:t>
      </w:r>
    </w:p>
    <w:p>
      <w:pPr>
        <w:spacing w:after="60" w:before="60"/>
      </w:pPr>
      <w:r>
        <w:rPr>
          <w:i/>
          <w:iCs/>
          <w:color w:val="595959"/>
          <w:sz w:val="19"/>
          <w:szCs w:val="19"/>
        </w:rPr>
        <w:t xml:space="preserve">Tabla 5.12. Fiabilidad inter-anotador (κ de Cohen) por categoría, dos rondas. Escala de Landis y Koch (1977).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700"/>
        <w:gridCol w:w="3560"/>
      </w:tblGrid>
      <w:tr>
        <w:trPr>
          <w:tblHeader/>
        </w:trPr>
        <w:tc>
          <w:tcPr>
            <w:tcW w:type="dxa" w:w="2400"/>
            <w:shd w:fill="1F3864" w:val="clear"/>
          </w:tcPr>
          <w:p>
            <w:pPr>
              <w:jc w:val="center"/>
            </w:pPr>
            <w:r>
              <w:rPr>
                <w:b/>
                <w:bCs/>
                <w:color w:val="FFFFFF"/>
                <w:sz w:val="19"/>
                <w:szCs w:val="19"/>
              </w:rPr>
              <w:t xml:space="preserve">Categoría</w:t>
            </w:r>
          </w:p>
        </w:tc>
        <w:tc>
          <w:tcPr>
            <w:tcW w:type="dxa" w:w="1700"/>
            <w:shd w:fill="1F3864" w:val="clear"/>
          </w:tcPr>
          <w:p>
            <w:pPr>
              <w:jc w:val="center"/>
            </w:pPr>
            <w:r>
              <w:rPr>
                <w:b/>
                <w:bCs/>
                <w:color w:val="FFFFFF"/>
                <w:sz w:val="19"/>
                <w:szCs w:val="19"/>
              </w:rPr>
              <w:t xml:space="preserve">κ Ronda 1</w:t>
            </w:r>
          </w:p>
        </w:tc>
        <w:tc>
          <w:tcPr>
            <w:tcW w:type="dxa" w:w="1700"/>
            <w:shd w:fill="1F3864" w:val="clear"/>
          </w:tcPr>
          <w:p>
            <w:pPr>
              <w:jc w:val="center"/>
            </w:pPr>
            <w:r>
              <w:rPr>
                <w:b/>
                <w:bCs/>
                <w:color w:val="FFFFFF"/>
                <w:sz w:val="19"/>
                <w:szCs w:val="19"/>
              </w:rPr>
              <w:t xml:space="preserve">κ Ronda 2</w:t>
            </w:r>
          </w:p>
        </w:tc>
        <w:tc>
          <w:tcPr>
            <w:tcW w:type="dxa" w:w="3560"/>
            <w:shd w:fill="1F3864" w:val="clear"/>
          </w:tcPr>
          <w:p>
            <w:pPr>
              <w:jc w:val="center"/>
            </w:pPr>
            <w:r>
              <w:rPr>
                <w:b/>
                <w:bCs/>
                <w:color w:val="FFFFFF"/>
                <w:sz w:val="19"/>
                <w:szCs w:val="19"/>
              </w:rPr>
              <w:t xml:space="preserve">Interpretación final</w:t>
            </w:r>
          </w:p>
        </w:tc>
      </w:tr>
      <w:tr>
        <w:tc>
          <w:tcPr>
            <w:tcW w:type="dxa" w:w="2400"/>
            <w:shd w:fill="FFFFFF" w:val="clear"/>
          </w:tcPr>
          <w:p>
            <w:pPr>
              <w:jc w:val="left"/>
            </w:pPr>
            <w:r>
              <w:rPr>
                <w:b/>
                <w:bCs/>
                <w:sz w:val="19"/>
                <w:szCs w:val="19"/>
              </w:rPr>
              <w:t xml:space="preserve">EBI</w:t>
            </w:r>
          </w:p>
        </w:tc>
        <w:tc>
          <w:tcPr>
            <w:tcW w:type="dxa" w:w="1700"/>
            <w:shd w:fill="FFFFFF" w:val="clear"/>
          </w:tcPr>
          <w:p>
            <w:pPr>
              <w:jc w:val="center"/>
            </w:pPr>
            <w:r>
              <w:rPr>
                <w:b w:val="false"/>
                <w:bCs w:val="false"/>
                <w:sz w:val="19"/>
                <w:szCs w:val="19"/>
              </w:rPr>
              <w:t xml:space="preserve">0.722</w:t>
            </w:r>
          </w:p>
        </w:tc>
        <w:tc>
          <w:tcPr>
            <w:tcW w:type="dxa" w:w="1700"/>
            <w:shd w:fill="FFFFFF" w:val="clear"/>
          </w:tcPr>
          <w:p>
            <w:pPr>
              <w:jc w:val="center"/>
            </w:pPr>
            <w:r>
              <w:rPr>
                <w:b w:val="false"/>
                <w:bCs w:val="false"/>
                <w:sz w:val="19"/>
                <w:szCs w:val="19"/>
              </w:rPr>
              <w:t xml:space="preserve">0.722</w:t>
            </w:r>
          </w:p>
        </w:tc>
        <w:tc>
          <w:tcPr>
            <w:tcW w:type="dxa" w:w="3560"/>
            <w:shd w:fill="FFFFFF" w:val="clear"/>
          </w:tcPr>
          <w:p>
            <w:pPr>
              <w:jc w:val="center"/>
            </w:pPr>
            <w:r>
              <w:rPr>
                <w:b w:val="false"/>
                <w:bCs w:val="false"/>
                <w:sz w:val="19"/>
                <w:szCs w:val="19"/>
              </w:rPr>
              <w:t xml:space="preserve">sustancial</w:t>
            </w:r>
          </w:p>
        </w:tc>
      </w:tr>
      <w:tr>
        <w:tc>
          <w:tcPr>
            <w:tcW w:type="dxa" w:w="2400"/>
            <w:shd w:fill="F2F2F2" w:val="clear"/>
          </w:tcPr>
          <w:p>
            <w:pPr>
              <w:jc w:val="left"/>
            </w:pPr>
            <w:r>
              <w:rPr>
                <w:b/>
                <w:bCs/>
                <w:sz w:val="19"/>
                <w:szCs w:val="19"/>
              </w:rPr>
              <w:t xml:space="preserve">SA</w:t>
            </w:r>
          </w:p>
        </w:tc>
        <w:tc>
          <w:tcPr>
            <w:tcW w:type="dxa" w:w="1700"/>
            <w:shd w:fill="F2F2F2" w:val="clear"/>
          </w:tcPr>
          <w:p>
            <w:pPr>
              <w:jc w:val="center"/>
            </w:pPr>
            <w:r>
              <w:rPr>
                <w:b w:val="false"/>
                <w:bCs w:val="false"/>
                <w:sz w:val="19"/>
                <w:szCs w:val="19"/>
              </w:rPr>
              <w:t xml:space="preserve">0.617</w:t>
            </w:r>
          </w:p>
        </w:tc>
        <w:tc>
          <w:tcPr>
            <w:tcW w:type="dxa" w:w="1700"/>
            <w:shd w:fill="F2F2F2" w:val="clear"/>
          </w:tcPr>
          <w:p>
            <w:pPr>
              <w:jc w:val="center"/>
            </w:pPr>
            <w:r>
              <w:rPr>
                <w:b w:val="false"/>
                <w:bCs w:val="false"/>
                <w:sz w:val="19"/>
                <w:szCs w:val="19"/>
              </w:rPr>
              <w:t xml:space="preserve">0.617</w:t>
            </w:r>
          </w:p>
        </w:tc>
        <w:tc>
          <w:tcPr>
            <w:tcW w:type="dxa" w:w="3560"/>
            <w:shd w:fill="F2F2F2" w:val="clear"/>
          </w:tcPr>
          <w:p>
            <w:pPr>
              <w:jc w:val="center"/>
            </w:pPr>
            <w:r>
              <w:rPr>
                <w:b w:val="false"/>
                <w:bCs w:val="false"/>
                <w:sz w:val="19"/>
                <w:szCs w:val="19"/>
              </w:rPr>
              <w:t xml:space="preserve">sustancial</w:t>
            </w:r>
          </w:p>
        </w:tc>
      </w:tr>
      <w:tr>
        <w:tc>
          <w:tcPr>
            <w:tcW w:type="dxa" w:w="2400"/>
            <w:shd w:fill="FFFFFF" w:val="clear"/>
          </w:tcPr>
          <w:p>
            <w:pPr>
              <w:jc w:val="left"/>
            </w:pPr>
            <w:r>
              <w:rPr>
                <w:b/>
                <w:bCs/>
                <w:sz w:val="19"/>
                <w:szCs w:val="19"/>
              </w:rPr>
              <w:t xml:space="preserve">NV</w:t>
            </w:r>
          </w:p>
        </w:tc>
        <w:tc>
          <w:tcPr>
            <w:tcW w:type="dxa" w:w="1700"/>
            <w:shd w:fill="FFFFFF" w:val="clear"/>
          </w:tcPr>
          <w:p>
            <w:pPr>
              <w:jc w:val="center"/>
            </w:pPr>
            <w:r>
              <w:rPr>
                <w:b w:val="false"/>
                <w:bCs w:val="false"/>
                <w:sz w:val="19"/>
                <w:szCs w:val="19"/>
              </w:rPr>
              <w:t xml:space="preserve">0.709</w:t>
            </w:r>
          </w:p>
        </w:tc>
        <w:tc>
          <w:tcPr>
            <w:tcW w:type="dxa" w:w="1700"/>
            <w:shd w:fill="FFFFFF" w:val="clear"/>
          </w:tcPr>
          <w:p>
            <w:pPr>
              <w:jc w:val="center"/>
            </w:pPr>
            <w:r>
              <w:rPr>
                <w:b w:val="false"/>
                <w:bCs w:val="false"/>
                <w:sz w:val="19"/>
                <w:szCs w:val="19"/>
              </w:rPr>
              <w:t xml:space="preserve">0.709</w:t>
            </w:r>
          </w:p>
        </w:tc>
        <w:tc>
          <w:tcPr>
            <w:tcW w:type="dxa" w:w="3560"/>
            <w:shd w:fill="FFFFFF" w:val="clear"/>
          </w:tcPr>
          <w:p>
            <w:pPr>
              <w:jc w:val="center"/>
            </w:pPr>
            <w:r>
              <w:rPr>
                <w:b w:val="false"/>
                <w:bCs w:val="false"/>
                <w:sz w:val="19"/>
                <w:szCs w:val="19"/>
              </w:rPr>
              <w:t xml:space="preserve">sustancial</w:t>
            </w:r>
          </w:p>
        </w:tc>
      </w:tr>
      <w:tr>
        <w:tc>
          <w:tcPr>
            <w:tcW w:type="dxa" w:w="2400"/>
            <w:shd w:fill="F2F2F2" w:val="clear"/>
          </w:tcPr>
          <w:p>
            <w:pPr>
              <w:jc w:val="left"/>
            </w:pPr>
            <w:r>
              <w:rPr>
                <w:b/>
                <w:bCs/>
                <w:sz w:val="19"/>
                <w:szCs w:val="19"/>
              </w:rPr>
              <w:t xml:space="preserve">REP</w:t>
            </w:r>
          </w:p>
        </w:tc>
        <w:tc>
          <w:tcPr>
            <w:tcW w:type="dxa" w:w="1700"/>
            <w:shd w:fill="F2F2F2" w:val="clear"/>
          </w:tcPr>
          <w:p>
            <w:pPr>
              <w:jc w:val="center"/>
            </w:pPr>
            <w:r>
              <w:rPr>
                <w:b w:val="false"/>
                <w:bCs w:val="false"/>
                <w:sz w:val="19"/>
                <w:szCs w:val="19"/>
              </w:rPr>
              <w:t xml:space="preserve">0.309</w:t>
            </w:r>
          </w:p>
        </w:tc>
        <w:tc>
          <w:tcPr>
            <w:tcW w:type="dxa" w:w="1700"/>
            <w:shd w:fill="F2F2F2" w:val="clear"/>
          </w:tcPr>
          <w:p>
            <w:pPr>
              <w:jc w:val="center"/>
            </w:pPr>
            <w:r>
              <w:rPr>
                <w:b w:val="false"/>
                <w:bCs w:val="false"/>
                <w:sz w:val="19"/>
                <w:szCs w:val="19"/>
              </w:rPr>
              <w:t xml:space="preserve">0.841</w:t>
            </w:r>
          </w:p>
        </w:tc>
        <w:tc>
          <w:tcPr>
            <w:tcW w:type="dxa" w:w="3560"/>
            <w:shd w:fill="F2F2F2" w:val="clear"/>
          </w:tcPr>
          <w:p>
            <w:pPr>
              <w:jc w:val="center"/>
            </w:pPr>
            <w:r>
              <w:rPr>
                <w:b w:val="false"/>
                <w:bCs w:val="false"/>
                <w:sz w:val="19"/>
                <w:szCs w:val="19"/>
              </w:rPr>
              <w:t xml:space="preserve">casi perfecto (revisado)</w:t>
            </w:r>
          </w:p>
        </w:tc>
      </w:tr>
      <w:tr>
        <w:tc>
          <w:tcPr>
            <w:tcW w:type="dxa" w:w="2400"/>
            <w:shd w:fill="FFFFFF" w:val="clear"/>
          </w:tcPr>
          <w:p>
            <w:pPr>
              <w:jc w:val="left"/>
            </w:pPr>
            <w:r>
              <w:rPr>
                <w:b/>
                <w:bCs/>
                <w:sz w:val="19"/>
                <w:szCs w:val="19"/>
              </w:rPr>
              <w:t xml:space="preserve">Global (macro)</w:t>
            </w:r>
          </w:p>
        </w:tc>
        <w:tc>
          <w:tcPr>
            <w:tcW w:type="dxa" w:w="1700"/>
            <w:shd w:fill="FFFFFF" w:val="clear"/>
          </w:tcPr>
          <w:p>
            <w:pPr>
              <w:jc w:val="center"/>
            </w:pPr>
            <w:r>
              <w:rPr>
                <w:b w:val="false"/>
                <w:bCs w:val="false"/>
                <w:sz w:val="19"/>
                <w:szCs w:val="19"/>
              </w:rPr>
              <w:t xml:space="preserve">0.589</w:t>
            </w:r>
          </w:p>
        </w:tc>
        <w:tc>
          <w:tcPr>
            <w:tcW w:type="dxa" w:w="1700"/>
            <w:shd w:fill="FFFFFF" w:val="clear"/>
          </w:tcPr>
          <w:p>
            <w:pPr>
              <w:jc w:val="center"/>
            </w:pPr>
            <w:r>
              <w:rPr>
                <w:b w:val="false"/>
                <w:bCs w:val="false"/>
                <w:sz w:val="19"/>
                <w:szCs w:val="19"/>
              </w:rPr>
              <w:t xml:space="preserve">0.722</w:t>
            </w:r>
          </w:p>
        </w:tc>
        <w:tc>
          <w:tcPr>
            <w:tcW w:type="dxa" w:w="3560"/>
            <w:shd w:fill="FFFFFF" w:val="clear"/>
          </w:tcPr>
          <w:p>
            <w:pPr>
              <w:jc w:val="center"/>
            </w:pPr>
            <w:r>
              <w:rPr>
                <w:b w:val="false"/>
                <w:bCs w:val="false"/>
                <w:sz w:val="19"/>
                <w:szCs w:val="19"/>
              </w:rPr>
              <w:t xml:space="preserve">sustancial</w:t>
            </w:r>
          </w:p>
        </w:tc>
      </w:tr>
    </w:tbl>
    <w:p>
      <w:pPr>
        <w:spacing w:after="120" w:line="276"/>
        <w:jc w:val="both"/>
      </w:pPr>
      <w:r>
        <w:rPr>
          <w:sz w:val="22"/>
          <w:szCs w:val="22"/>
        </w:rPr>
        <w:t xml:space="preserve">En la primera ronda, las categorías EBI, SA y NV alcanzaron concordancia sustancial (κ entre 0.62 y 0.72), mientras que la Ruptura Epistémica Positiva (REP) obtuvo la concordancia más baja (κ=0.309). El análisis de los 34 desacuerdos en REP reveló una comprensión divergente de los límites del constructo —específicamente, la frontera entre el reconocimiento genuino y el lenguaje jurídico formulaico, como la expresión «homicidio en persona protegida» en las secciones dispositivas. Tras calibrar la definición operativa del constructo, ambos anotadores revisaron los fragmentos en disputa: 28 de los 34 convergieron y 6 permanecieron en desacuerdo (casos genuinamente ambiguos, no forzados). La revisión elevó REP a κ=0.841 (casi perfecto) y el índice global macro a κ=0.722 (sustancial). La persistencia de seis desacuerdos irreducibles confirma que la convergencia no fue impuesta, sino resultado de una calibración legítima del constructo.</w:t>
      </w:r>
    </w:p>
    <w:p>
      <w:pPr>
        <w:pStyle w:val="Heading2"/>
        <w:spacing w:after="100" w:before="200"/>
      </w:pPr>
      <w:r>
        <w:rPr>
          <w:b/>
          <w:bCs/>
          <w:color w:val="1F3864"/>
          <w:sz w:val="26"/>
          <w:szCs w:val="26"/>
        </w:rPr>
        <w:t xml:space="preserve">5.18 Análisis estructural exploratorio</w:t>
      </w:r>
    </w:p>
    <w:p>
      <w:pPr>
        <w:spacing w:after="120" w:line="276"/>
        <w:jc w:val="both"/>
      </w:pPr>
      <w:r>
        <w:rPr>
          <w:sz w:val="22"/>
          <w:szCs w:val="22"/>
        </w:rPr>
        <w:t xml:space="preserve">Complementando la evidencia descriptiva de los índices, se realizó un conjunto de análisis estructurales de carácter exploratorio. Todos ellos están condicionados por el tamaño del Corpus C (n=47 comparecientes), que impide un modelado confirmatorio con variables latentes; se reportan, por tanto, como complementos de la evidencia principal —el contraste inter-corpus del IEI y la relación y₈→y₁₀—, no como su sustento.</w:t>
      </w:r>
    </w:p>
    <w:p>
      <w:pPr>
        <w:pStyle w:val="Heading3"/>
        <w:spacing w:after="80" w:before="160"/>
      </w:pPr>
      <w:r>
        <w:rPr>
          <w:b/>
          <w:bCs/>
          <w:color w:val="1F3864"/>
          <w:sz w:val="23"/>
          <w:szCs w:val="23"/>
        </w:rPr>
        <w:t xml:space="preserve">5.18.1 La distancia a las víctimas predice la transición (y₈ → y₁₀)</w:t>
      </w:r>
    </w:p>
    <w:p>
      <w:pPr>
        <w:spacing w:after="120" w:line="276"/>
        <w:jc w:val="both"/>
      </w:pPr>
      <w:r>
        <w:rPr>
          <w:sz w:val="22"/>
          <w:szCs w:val="22"/>
        </w:rPr>
        <w:t xml:space="preserve">El hallazgo estructural más robusto es la relación entre la distancia semántica al lenguaje de las víctimas (y₈) y la ruptura epistémica positiva (y₁₀). La regresión de y₁₀ sobre los indicadores de injusticia arroja un coeficiente negativo, significativo y consistente en dos universos independientes: β=−0.679 (p=0.047) en el Corpus C y β=−0.597 (p&lt;0.001) en el análisis tri-corpus (n=946). El mismo signo y magnitud comparable en ambos universos confirman la robustez del hallazgo: cuanto mayor es la distancia del discurso respecto al lenguaje de las víctimas, menor es la transición reparadora. Esta relación, central para la hipótesis del framework, queda atenuada al agregarse en el índice IEI pero emerge nítida a nivel de indicador individual.</w:t>
      </w:r>
    </w:p>
    <w:p>
      <w:pPr>
        <w:pStyle w:val="Heading3"/>
        <w:spacing w:after="80" w:before="160"/>
      </w:pPr>
      <w:r>
        <w:rPr>
          <w:b/>
          <w:bCs/>
          <w:color w:val="1F3864"/>
          <w:sz w:val="23"/>
          <w:szCs w:val="23"/>
        </w:rPr>
        <w:t xml:space="preserve">5.18.2 Modelos SEM exploratorios</w:t>
      </w:r>
    </w:p>
    <w:p>
      <w:pPr>
        <w:spacing w:after="120" w:line="276"/>
        <w:jc w:val="both"/>
      </w:pPr>
      <w:r>
        <w:rPr>
          <w:b/>
          <w:bCs/>
          <w:sz w:val="22"/>
          <w:szCs w:val="22"/>
        </w:rPr>
        <w:t xml:space="preserve">SEM del Corpus C. </w:t>
      </w:r>
      <w:r>
        <w:rPr>
          <w:sz w:val="22"/>
          <w:szCs w:val="22"/>
        </w:rPr>
        <w:t xml:space="preserve">El modelo de ecuaciones estructurales sobre el Corpus C (n=47), con la injusticia epistémica prediciendo la transición, produce coeficientes en la dirección esperada pero un ajuste no interpretable (índices de ajuste fuera de rango por no-identificación con n bajo). Confirma el carácter exploratorio del modelado estructural con este tamaño muestral.</w:t>
      </w:r>
    </w:p>
    <w:p>
      <w:pPr>
        <w:spacing w:after="120" w:line="276"/>
        <w:jc w:val="both"/>
      </w:pPr>
      <w:r>
        <w:rPr>
          <w:b/>
          <w:bCs/>
          <w:sz w:val="22"/>
          <w:szCs w:val="22"/>
        </w:rPr>
        <w:t xml:space="preserve">Modelo multigrupo (DIS→IEI por corpus). </w:t>
      </w:r>
      <w:r>
        <w:rPr>
          <w:sz w:val="22"/>
          <w:szCs w:val="22"/>
        </w:rPr>
        <w:t xml:space="preserve">La relación entre DIS e IEI, estimada por separado en cada corpus, resulta débil en los tres (β entre 0.05 y 0.20). Esta debilidad refuerza la independencia dimensional de los índices: si el DIS predijera fuertemente el IEI, no medirían dimensiones distintas. Al equilibrar el tamaño de los grupos, el coeficiente del Corpus A cae a 0.047, mostrando que su significancia en la muestra completa era un artefacto del gran tamaño de A.</w:t>
      </w:r>
    </w:p>
    <w:p>
      <w:pPr>
        <w:spacing w:after="120" w:line="276"/>
        <w:jc w:val="both"/>
      </w:pPr>
      <w:r>
        <w:rPr>
          <w:b/>
          <w:bCs/>
          <w:sz w:val="22"/>
          <w:szCs w:val="22"/>
        </w:rPr>
        <w:t xml:space="preserve">Modelo de los tres índices en C. </w:t>
      </w:r>
      <w:r>
        <w:rPr>
          <w:sz w:val="22"/>
          <w:szCs w:val="22"/>
        </w:rPr>
        <w:t xml:space="preserve">Al integrar DIS, IEI e ICM en el Corpus C bajo tres estructuras teóricas (cadena causal, ICM como predictor y dimensiones paralelas), las estructuras causales no encuentran sustento —coeficientes no significativos (p&gt;0.20) y modelos no identificados—, mientras que la estructura de tres dimensiones paralelas independientes describe correctamente los datos (correlaciones |r|&lt;0.21, todas no significativas). No existe relación causal entre los tres índices: son dimensiones paralelas, lo que confirma por vía estructural el argumento dimensional del framework.</w:t>
      </w:r>
    </w:p>
    <w:p>
      <w:pPr>
        <w:pStyle w:val="Heading3"/>
        <w:spacing w:after="80" w:before="160"/>
      </w:pPr>
      <w:r>
        <w:rPr>
          <w:b/>
          <w:bCs/>
          <w:color w:val="1F3864"/>
          <w:sz w:val="23"/>
          <w:szCs w:val="23"/>
        </w:rPr>
        <w:t xml:space="preserve">5.18.3 Robustez del hallazgo por subcaso (jackknife de Dabeiba)</w:t>
      </w:r>
    </w:p>
    <w:p>
      <w:pPr>
        <w:spacing w:after="120" w:line="276"/>
        <w:jc w:val="both"/>
      </w:pPr>
      <w:r>
        <w:rPr>
          <w:sz w:val="22"/>
          <w:szCs w:val="22"/>
        </w:rPr>
        <w:t xml:space="preserve">En el subcaso Dabeiba (n=12), la relación entre injusticia epistémica y transición reparadora resultó fuerte (r=−0.748). El análisis de sensibilidad por jackknife —recalculando la correlación al excluir un compareciente por vez— confirmó que la dirección y magnitud se mantienen estables al excluir cualquiera de once comparecientes (rango −0.738 a −0.812), aunque la exclusión de un caso individual la reduce a −0.315. Dado el reducido tamaño muestral, el hallazgo se interpreta como sugerente y exploratorio, coherente con la hipótesis pero no confirmatorio. La evidencia estructural principal permanece en la relación y₈→y₁₀, robusta en los dos universos, y en el contraste inter-corpus del IEI.</w:t>
      </w:r>
    </w:p>
    <w:p>
      <w:pPr>
        <w:pStyle w:val="Heading2"/>
        <w:spacing w:after="100" w:before="200"/>
      </w:pPr>
      <w:r>
        <w:rPr>
          <w:b/>
          <w:bCs/>
          <w:color w:val="1F3864"/>
          <w:sz w:val="26"/>
          <w:szCs w:val="26"/>
        </w:rPr>
        <w:t xml:space="preserve">Referencias del capítulo</w:t>
      </w:r>
    </w:p>
    <w:p>
      <w:pPr>
        <w:spacing w:after="80"/>
        <w:ind w:left="360" w:hanging="360"/>
        <w:jc w:val="both"/>
      </w:pPr>
      <w:r>
        <w:rPr>
          <w:sz w:val="20"/>
          <w:szCs w:val="20"/>
        </w:rPr>
        <w:t xml:space="preserve">Barrett, L. F., Adolphs, R., Marsella, S., Martinez, A. M., y Pollak, S. D. (2019). Emotional Expressions Reconsidered: Challenges to Inferring Emotion From Human Facial Movements. Psychological Science in the Public Interest, 20(1), 1–68.</w:t>
      </w:r>
    </w:p>
    <w:p>
      <w:pPr>
        <w:spacing w:after="80"/>
        <w:ind w:left="360" w:hanging="360"/>
        <w:jc w:val="both"/>
      </w:pPr>
      <w:r>
        <w:rPr>
          <w:sz w:val="20"/>
          <w:szCs w:val="20"/>
        </w:rPr>
        <w:t xml:space="preserve">Beach, M. C., et al. (2021). Testimonial Injustice: Linguistic Bias in the Medical Records of Black Patients and Women. Journal of General Internal Medicine.</w:t>
      </w:r>
    </w:p>
    <w:p>
      <w:pPr>
        <w:spacing w:after="80"/>
        <w:ind w:left="360" w:hanging="360"/>
        <w:jc w:val="both"/>
      </w:pPr>
      <w:r>
        <w:rPr>
          <w:sz w:val="20"/>
          <w:szCs w:val="20"/>
        </w:rPr>
        <w:t xml:space="preserve">Buolamwini, J., y Gebru, T. (2018). Gender Shades: Intersectional Accuracy Disparities in Commercial Gender Classification. Proceedings of Machine Learning Research, 81, 1–15.</w:t>
      </w:r>
    </w:p>
    <w:p>
      <w:pPr>
        <w:spacing w:after="80"/>
        <w:ind w:left="360" w:hanging="360"/>
        <w:jc w:val="both"/>
      </w:pPr>
      <w:r>
        <w:rPr>
          <w:sz w:val="20"/>
          <w:szCs w:val="20"/>
        </w:rPr>
        <w:t xml:space="preserve">Cohen, J. (1988). Statistical Power Analysis for the Behavioral Sciences (2.ª ed.). Lawrence Erlbaum.</w:t>
      </w:r>
    </w:p>
    <w:p>
      <w:pPr>
        <w:spacing w:after="80"/>
        <w:ind w:left="360" w:hanging="360"/>
        <w:jc w:val="both"/>
      </w:pPr>
      <w:r>
        <w:rPr>
          <w:sz w:val="20"/>
          <w:szCs w:val="20"/>
        </w:rPr>
        <w:t xml:space="preserve">Ekman, P., Friesen, W. V., y Hager, J. C. (2002). Facial Action Coding System. Research Nexus.</w:t>
      </w:r>
    </w:p>
    <w:p>
      <w:pPr>
        <w:spacing w:after="80"/>
        <w:ind w:left="360" w:hanging="360"/>
        <w:jc w:val="both"/>
      </w:pPr>
      <w:r>
        <w:rPr>
          <w:sz w:val="20"/>
          <w:szCs w:val="20"/>
        </w:rPr>
        <w:t xml:space="preserve">Fricker, M. (2007). Epistemic Injustice: Power and the Ethics of Knowing. Oxford University Press.</w:t>
      </w:r>
    </w:p>
    <w:p>
      <w:pPr>
        <w:spacing w:after="80"/>
        <w:ind w:left="360" w:hanging="360"/>
        <w:jc w:val="both"/>
      </w:pPr>
      <w:r>
        <w:rPr>
          <w:sz w:val="20"/>
          <w:szCs w:val="20"/>
        </w:rPr>
        <w:t xml:space="preserve">Igolkina, A. A. y Meshcheryakov, G. (2020). semopy: A Python package for Structural Equation Models. arXiv:2003.05838.</w:t>
      </w:r>
    </w:p>
    <w:p>
      <w:pPr>
        <w:spacing w:after="80"/>
        <w:ind w:left="360" w:hanging="360"/>
        <w:jc w:val="both"/>
      </w:pPr>
      <w:r>
        <w:rPr>
          <w:sz w:val="20"/>
          <w:szCs w:val="20"/>
        </w:rPr>
        <w:t xml:space="preserve">Landis, J. R., y Koch, G. G. (1977). The Measurement of Observer Agreement for Categorical Data. Biometrics, 33(1), 159–174.</w:t>
      </w:r>
    </w:p>
    <w:p>
      <w:pPr>
        <w:spacing w:after="80"/>
        <w:ind w:left="360" w:hanging="360"/>
        <w:jc w:val="both"/>
      </w:pPr>
      <w:r>
        <w:rPr>
          <w:sz w:val="20"/>
          <w:szCs w:val="20"/>
        </w:rPr>
        <w:t xml:space="preserve">Lugaresi, C., et al. (2023). MediaPipe: A Framework for Perceiving and Processing Reality. CVPR Workshop.</w:t>
      </w:r>
    </w:p>
    <w:p>
      <w:pPr>
        <w:spacing w:after="80"/>
        <w:ind w:left="360" w:hanging="360"/>
        <w:jc w:val="both"/>
      </w:pPr>
      <w:r>
        <w:rPr>
          <w:sz w:val="20"/>
          <w:szCs w:val="20"/>
        </w:rPr>
        <w:t xml:space="preserve">Mann, H. B. y Whitney, D. R. (1947). On a test of whether one of two random variables is stochastically larger than the other. Annals of Mathematical Statistics, 18(1), 50–60.</w:t>
      </w:r>
    </w:p>
    <w:p>
      <w:pPr>
        <w:spacing w:after="80"/>
        <w:ind w:left="360" w:hanging="360"/>
        <w:jc w:val="both"/>
      </w:pPr>
      <w:r>
        <w:rPr>
          <w:sz w:val="20"/>
          <w:szCs w:val="20"/>
        </w:rPr>
        <w:t xml:space="preserve">Yang, W., et al. (2023). ConfliBERT-Spanish. IEEE CiSt 2023.</w:t>
      </w:r>
    </w:p>
    <w:p>
      <w:pPr>
        <w:spacing w:after="80"/>
        <w:ind w:left="360" w:hanging="360"/>
        <w:jc w:val="both"/>
      </w:pPr>
      <w:r>
        <w:rPr>
          <w:sz w:val="20"/>
          <w:szCs w:val="20"/>
        </w:rPr>
        <w:t xml:space="preserve">Zehr, H. (2002). The Little Book of Restorative Justice. Good Books.</w:t>
      </w:r>
    </w:p>
    <w:p>
      <w:r>
        <w:br w:type="page"/>
      </w:r>
    </w:p>
    <w:p>
      <w:pPr>
        <w:pStyle w:val="Heading1"/>
        <w:spacing w:after="240" w:before="480"/>
        <w:outlineLvl w:val="0"/>
      </w:pPr>
      <w:r>
        <w:rPr>
          <w:rFonts w:ascii="Times New Roman" w:cs="Times New Roman" w:eastAsia="Times New Roman" w:hAnsi="Times New Roman"/>
          <w:b/>
          <w:bCs/>
          <w:color w:val="0D2137"/>
          <w:sz w:val="28"/>
          <w:szCs w:val="28"/>
        </w:rPr>
        <w:t xml:space="preserve">6. Discusión y conclusiones</w:t>
      </w:r>
    </w:p>
    <w:p>
      <w:pPr>
        <w:spacing w:after="200" w:line="360" w:lineRule="auto"/>
        <w:ind w:firstLine="720"/>
        <w:jc w:val="both"/>
      </w:pPr>
      <w:r>
        <w:rPr>
          <w:rFonts w:ascii="Times New Roman" w:cs="Times New Roman" w:eastAsia="Times New Roman" w:hAnsi="Times New Roman"/>
          <w:color w:val="000000"/>
          <w:sz w:val="24"/>
          <w:szCs w:val="24"/>
        </w:rPr>
        <w:t xml:space="preserve">Este capítulo discute el significado de los hallazgos empíricos en relación con las hipótesis del marco teórico, responde los cuestionamientos metodológicos anticipados, analiza las limitaciones de la investigación, propone líneas de trabajo futuro y formula las conclusiones de la tesis.</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6.1 Discusión de los hallazgos</w:t>
      </w:r>
    </w:p>
    <w:p>
      <w:pPr>
        <w:pStyle w:val="Heading3"/>
        <w:spacing w:after="140" w:before="280"/>
        <w:outlineLvl w:val="2"/>
      </w:pPr>
      <w:r>
        <w:rPr>
          <w:rFonts w:ascii="Times New Roman" w:cs="Times New Roman" w:eastAsia="Times New Roman" w:hAnsi="Times New Roman"/>
          <w:b/>
          <w:bCs/>
          <w:i/>
          <w:iCs/>
          <w:color w:val="000000"/>
          <w:sz w:val="24"/>
          <w:szCs w:val="24"/>
        </w:rPr>
        <w:t xml:space="preserve">6.1.1 La brecha discursiva: confirmación parcial de H₃</w:t>
      </w:r>
    </w:p>
    <w:p>
      <w:pPr>
        <w:spacing w:after="200" w:line="360" w:lineRule="auto"/>
        <w:jc w:val="both"/>
      </w:pPr>
      <w:r>
        <w:rPr>
          <w:rFonts w:ascii="Times New Roman" w:cs="Times New Roman" w:eastAsia="Times New Roman" w:hAnsi="Times New Roman"/>
          <w:sz w:val="24"/>
          <w:szCs w:val="24"/>
        </w:rPr>
        <w:t>El análisis de tamaño de efecto (Cohen's d, N_B=80) precisa la naturaleza de los hallazgos: los indicadores semánticos y de reconocimiento presentan los efectos más sustantivos. La distancia MAFAPO (y₈, d=1.39) es el discriminante más fuerte entre la justicia ordinaria y la transicional, seguida de la distancia CIDH (y₉, d=0.95) y de la Ruptura Epistémica Positiva (y₁₀ REP, d=0.61, p&lt;0.001). El EBI discrimina en dirección inversa (d=−0.41) por su carácter citativo. En contraste, la Supresión de Agentividad (y₂ SA, d=0.05, p=0.944 n.s.) es transversal al género jurídico y la Negación de Victimización (y₄ NV, d=0.01) presenta un efecto trivial. El DIS sintético, al agregar indicadores de superficie heterogéneos, no distingue significativamente los dos sistemas (p=0.0688) — la brecha reside en la dimensión epistémica (IEI), no en la discursiva de superficie.</w:t>
      </w:r>
    </w:p>
    <w:p>
      <w:pPr>
        <w:spacing w:after="200" w:line="360" w:lineRule="auto"/>
        <w:ind w:firstLine="720"/>
        <w:jc w:val="both"/>
      </w:pPr>
      <w:r>
        <w:rPr>
          <w:rFonts w:ascii="Times New Roman" w:cs="Times New Roman" w:eastAsia="Times New Roman" w:hAnsi="Times New Roman"/>
          <w:color w:val="000000"/>
          <w:sz w:val="24"/>
          <w:szCs w:val="24"/>
        </w:rPr>
        <w:t xml:space="preserve">El control temporal (§5.7.1) reveló un matiz importante: la brecha en REP léxico (y₁₀) y NV (y₄) no es significativa cuando se comparan documentos del mismo período histórico (A 2018-2023 vs B, p=0.139 y p=0.293 n.s.). Sin embargo, la brecha semántica profunda (y₈, y₉) persiste con p&lt;0.001 controlando el período. Esto indica que la cercanía al lenguaje de las víctimas y del DIH es una diferencia estructural entre los sistemas de justicia, no un artefacto temporal, mientras que la brecha en REP léxico es parcialmente explicada por la evolución temporal del lenguaje jurídico colombiano.</w:t>
      </w:r>
    </w:p>
    <w:p>
      <w:pPr>
        <w:pStyle w:val="Heading3"/>
        <w:spacing w:after="140" w:before="280"/>
        <w:outlineLvl w:val="2"/>
      </w:pPr>
      <w:r>
        <w:rPr>
          <w:rFonts w:ascii="Times New Roman" w:cs="Times New Roman" w:eastAsia="Times New Roman" w:hAnsi="Times New Roman"/>
          <w:b/>
          <w:bCs/>
          <w:i/>
          <w:iCs/>
          <w:color w:val="000000"/>
          <w:sz w:val="24"/>
          <w:szCs w:val="24"/>
        </w:rPr>
        <w:t>6.1.2 El predictor principal: la distancia al lenguaje de las víctimas</w:t>
      </w:r>
    </w:p>
    <w:p>
      <w:pPr>
        <w:spacing w:after="200" w:line="360" w:lineRule="auto"/>
        <w:ind w:firstLine="720"/>
        <w:jc w:val="both"/>
      </w:pPr>
      <w:r>
        <w:rPr>
          <w:rFonts w:ascii="Times New Roman" w:cs="Times New Roman" w:eastAsia="Times New Roman" w:hAnsi="Times New Roman"/>
          <w:color w:val="000000"/>
          <w:sz w:val="24"/>
          <w:szCs w:val="24"/>
        </w:rPr>
        <w:t>El análisis de senderos (§5.7.2) identifica la distancia semántica al lenguaje de las víctimas (y₈, centroide MAFAPO) como el predictor central de la transición epistémica: la regresión de la Ruptura Epistémica Positiva (y₁₀) sobre los indicadores de injusticia arroja un coeficiente negativo, robusto y consistente en dos universos independientes (β=−0.679 en Corpus C, β=−0.597 en el análisis tri-corpus). Cuanto mayor es la distancia del discurso respecto al lenguaje de las víctimas, menor es la ruptura epistémica positiva. Este hallazgo confirma que la transición opera principalmente a través de la adopción del vocabulario y la estructura semántica de las víctimas —la corrección de la injusticia hermenéutica— más que a través de la mera reducción de los mecanismos gramaticales de encubrimiento, en línea con el marco de Fraser (el reconocimiento como interlocutor igual es condición de la reparación).</w:t>
      </w:r>
    </w:p>
    <w:p>
      <w:pPr>
        <w:spacing w:after="200" w:line="360" w:lineRule="auto"/>
        <w:ind w:firstLine="720"/>
        <w:jc w:val="both"/>
      </w:pPr>
      <w:r>
        <w:rPr>
          <w:rFonts w:ascii="Times New Roman" w:cs="Times New Roman" w:eastAsia="Times New Roman" w:hAnsi="Times New Roman"/>
          <w:color w:val="000000"/>
          <w:sz w:val="24"/>
          <w:szCs w:val="24"/>
        </w:rPr>
        <w:t xml:space="preserve">La interpretación sustantiva es que la transición epistémica opera principalmente a través del vocabulario de las víctimas — la adopción del léxico civil, de derechos humanos y de la experiencia de las víctimas — más que a través de la reducción de los mecanismos de encubrimiento. Esto es coherente con el marco de Fraser (1995): el reconocimiento como interlocutoras iguales se manifiesta primariamente en el lenguaje que se usa para referirse a las víctimas, no en la eliminación del vocabulario militar.</w:t>
      </w:r>
    </w:p>
    <w:p>
      <w:pPr>
        <w:pStyle w:val="Heading3"/>
        <w:spacing w:after="140" w:before="280"/>
        <w:outlineLvl w:val="2"/>
      </w:pPr>
      <w:r>
        <w:rPr>
          <w:rFonts w:ascii="Times New Roman" w:cs="Times New Roman" w:eastAsia="Times New Roman" w:hAnsi="Times New Roman"/>
          <w:b/>
          <w:bCs/>
          <w:i/>
          <w:iCs/>
          <w:color w:val="000000"/>
          <w:sz w:val="24"/>
          <w:szCs w:val="24"/>
        </w:rPr>
        <w:t xml:space="preserve">6.1.3 CFH-BERT v2: aprendizaje con datos escasos</w:t>
      </w:r>
    </w:p>
    <w:p>
      <w:pPr>
        <w:spacing w:after="200" w:line="360" w:lineRule="auto"/>
        <w:ind w:firstLine="720"/>
        <w:jc w:val="both"/>
      </w:pPr>
      <w:r>
        <w:rPr>
          <w:rFonts w:ascii="Times New Roman" w:cs="Times New Roman" w:eastAsia="Times New Roman" w:hAnsi="Times New Roman"/>
          <w:color w:val="000000"/>
          <w:sz w:val="24"/>
          <w:szCs w:val="24"/>
        </w:rPr>
        <w:t xml:space="preserve">CFH-BERT v2 demuestra que el esquema IO con weighted loss supera significativamente al BIO simple con datos escasos: F1 macro pasa de 0.27 a 0.58 con las mismas 100 anotaciones. La mejora más notable es en NV (F1: 0.04 → 0.32), confirmando que el weighted loss puede compensar el desbalance extremo de clases cuando los pesos se calibran correctamente. Este resultado es consistente con la literatura sobre few-shot NER en dominios especializados (Lee et al., 2020).</w:t>
      </w:r>
    </w:p>
    <w:p>
      <w:pPr>
        <w:spacing w:after="200" w:line="360" w:lineRule="auto"/>
        <w:ind w:firstLine="720"/>
        <w:jc w:val="both"/>
      </w:pPr>
      <w:r>
        <w:rPr>
          <w:rFonts w:ascii="Times New Roman" w:cs="Times New Roman" w:eastAsia="Times New Roman" w:hAnsi="Times New Roman"/>
          <w:color w:val="000000"/>
          <w:sz w:val="24"/>
          <w:szCs w:val="24"/>
        </w:rPr>
        <w:t xml:space="preserve">El contraste entre el aprendizaje efectivo de REP (F1=0.77) y el resultado modesto de NV (F1=0.32) ilumina una asimetría discursiva importante: el reconocimiento tiene patrones lingüísticos más estables y consistentes que la negación de victimización. El REP se realiza mediante fórmulas performativas relativamente acotadas, mientras que el NV se materializa en una diversidad de estrategias retóricas que requieren más datos para aprender.</w:t>
      </w:r>
    </w:p>
    <w:p>
      <w:pPr>
        <w:pStyle w:val="Heading3"/>
        <w:spacing w:after="140" w:before="280"/>
        <w:outlineLvl w:val="2"/>
      </w:pPr>
      <w:r>
        <w:rPr>
          <w:rFonts w:ascii="Times New Roman" w:cs="Times New Roman" w:eastAsia="Times New Roman" w:hAnsi="Times New Roman"/>
          <w:b/>
          <w:bCs/>
          <w:i/>
          <w:iCs/>
          <w:color w:val="000000"/>
          <w:sz w:val="24"/>
          <w:szCs w:val="24"/>
        </w:rPr>
        <w:t xml:space="preserve">6.1.4 El NV cuestionado y el metalenguaje citativo</w:t>
      </w:r>
    </w:p>
    <w:p>
      <w:pPr>
        <w:spacing w:after="200" w:line="360" w:lineRule="auto"/>
        <w:ind w:firstLine="720"/>
        <w:jc w:val="both"/>
      </w:pPr>
      <w:r>
        <w:rPr>
          <w:rFonts w:ascii="Times New Roman" w:cs="Times New Roman" w:eastAsia="Times New Roman" w:hAnsi="Times New Roman"/>
          <w:color w:val="000000"/>
          <w:sz w:val="24"/>
          <w:szCs w:val="24"/>
        </w:rPr>
        <w:t>La sección RECONOCIMIENTO del Corpus B presenta simultáneamente alto REP y una presencia no despreciable de NV. Esta aparente paradoja se explica por el metalenguaje citativo: los comparecientes y la propia JEP citan el vocabulario de negación de victimización original para refutarlo, no para avalarlo. Este mismo fenómeno se observa, de forma independiente, en el EBI: el Corpus B presenta mayor densidad de eufemismo bélico que el Corpus A, concentrada en las secciones descriptivas y de razonamiento jurídico —donde se cita el lenguaje militar de los informes originales para nombrarlo y refutarlo— y no en las secciones de reconocimiento. La coexistencia de lenguaje reparador con vocabulario de encubrimiento en cita es una firma del procesamiento transicional del archivo, no una contradicción del modelo.</w:t>
      </w:r>
    </w:p>
    <w:p>
      <w:pPr>
        <w:pStyle w:val="Heading3"/>
        <w:spacing w:after="140" w:before="280"/>
        <w:outlineLvl w:val="2"/>
      </w:pPr>
      <w:r>
        <w:rPr>
          <w:rFonts w:ascii="Times New Roman" w:cs="Times New Roman" w:eastAsia="Times New Roman" w:hAnsi="Times New Roman"/>
          <w:b/>
          <w:bCs/>
          <w:i/>
          <w:iCs/>
          <w:color w:val="000000"/>
          <w:sz w:val="24"/>
          <w:szCs w:val="24"/>
        </w:rPr>
        <w:t xml:space="preserve">6.1.5 La supresión de agentividad como convención jurídica</w:t>
      </w:r>
    </w:p>
    <w:p>
      <w:pPr>
        <w:spacing w:after="200" w:line="360" w:lineRule="auto"/>
        <w:ind w:firstLine="720"/>
        <w:jc w:val="both"/>
      </w:pPr>
      <w:r>
        <w:rPr>
          <w:rFonts w:ascii="Times New Roman" w:cs="Times New Roman" w:eastAsia="Times New Roman" w:hAnsi="Times New Roman"/>
          <w:color w:val="000000"/>
          <w:sz w:val="24"/>
          <w:szCs w:val="24"/>
        </w:rPr>
        <w:t xml:space="preserve">El SA no difiere entre sistemas (p=0.934 n.s.) pero sí predice los outcomes de transición epistémica (β=+0.095 sobre REP, p&lt;0.001). Esto revela que la SA opera como convención del género textual jurídico en ambos sistemas, pero su magnitud varía de forma que coexiste con el reconocimiento — los documentos JEP tienen alta SA Y alto REP. Esta distinción entre SA encubridora y SA institucional-neutral es una contribución conceptual del proyecto CFH al análisis crítico del discurso jurídico.</w:t>
      </w:r>
    </w:p>
    <w:p>
      <w:pPr>
        <w:pStyle w:val="Heading3"/>
        <w:spacing w:after="140" w:before="280"/>
        <w:outlineLvl w:val="2"/>
      </w:pPr>
      <w:r>
        <w:rPr>
          <w:rFonts w:ascii="Times New Roman" w:cs="Times New Roman" w:eastAsia="Times New Roman" w:hAnsi="Times New Roman"/>
          <w:b/>
          <w:bCs/>
          <w:i/>
          <w:iCs/>
          <w:color w:val="000000"/>
          <w:sz w:val="24"/>
          <w:szCs w:val="24"/>
        </w:rPr>
        <w:t xml:space="preserve">6.1.6 Corpus C oral vs Corpus B escrito</w:t>
      </w:r>
    </w:p>
    <w:p>
      <w:pPr>
        <w:spacing w:after="200" w:line="360" w:lineRule="auto"/>
        <w:ind w:firstLine="720"/>
        <w:jc w:val="both"/>
      </w:pPr>
      <w:r>
        <w:rPr>
          <w:rFonts w:ascii="Times New Roman" w:cs="Times New Roman" w:eastAsia="Times New Roman" w:hAnsi="Times New Roman"/>
          <w:color w:val="000000"/>
          <w:sz w:val="24"/>
          <w:szCs w:val="24"/>
        </w:rPr>
        <w:t xml:space="preserve">El Corpus C (JEP oral, 38.1 horas) presenta un patrón asimétrico respecto al Corpus B escrito: la distancia MAFAPO (y₈) es menor en el oral (0.161) que en el escrito (0.191) —el lenguaje hablado está aún más cerca del léxico de las víctimas—, mientras que la distancia CIDH (y₉) es mayor en el oral (0.263) que en el escrito (0.235). El lenguaje de las audiencias orales es igualmente cercano al lenguaje de las víctimas pero más alejado del lenguaje técnico-jurídico del DIH. Esto es teóricamente coherente con Zehr (2002): los comparecientes hablan desde la experiencia vivida, no desde el derecho internacional humanitario. El análisis desagregado por hablante — mediante diarización con pyannote-audio — confirma que la voz de los magistrados es la que más se acerca al lenguaje del DIH, mientras que la voz de los comparecientes es la que más se acerca al lenguaje de MAFAPO.</w:t>
      </w:r>
    </w:p>
    <w:p>
      <w:pPr>
        <w:spacing w:after="200" w:line="360" w:lineRule="auto"/>
        <w:ind w:firstLine="720"/>
        <w:jc w:val="both"/>
      </w:pPr>
      <w:r>
        <w:rPr>
          <w:sz w:val="24"/>
          <w:szCs w:val="24"/>
        </w:rPr>
        <w:t xml:space="preserve">El análisis individual del Corpus C (Tabla 5.10) permite una comparación sistemática entre comparecientes que ningún análisis agregado por subcaso puede ofrecer. El hallazgo más relevante para la teoría de la justicia transicional es que la congruencia multimodal es un atributo individual: dentro de un mismo subcaso conviven perfiles multimodales muy diversos. Catatumbo —la primera audiencia del Macrocaso 003, descrita como catarsis colectiva— presenta el perfil de mayor tensión entre gramática directa y distancia semántica de las víctimas, mientras la materialidad del reconocimiento en Dabeiba (49 fosas del cementerio Las Mercedes) coexiste con perfiles individuales heterogéneos.</w:t>
      </w:r>
    </w:p>
    <w:p>
      <w:pPr>
        <w:spacing w:after="120"/>
      </w:pPr>
      <w:r>
        <w:rPr>
          <w:rFonts w:ascii="Times New Roman" w:cs="Times New Roman" w:eastAsia="Times New Roman" w:hAnsi="Times New Roman"/>
          <w:color w:val="000000"/>
          <w:sz w:val="24"/>
          <w:szCs w:val="24"/>
        </w:rPr>
        <w:t xml:space="preserve"/>
      </w:r>
    </w:p>
    <w:p>
      <w:pPr>
        <w:spacing w:after="200" w:line="360" w:lineRule="auto"/>
        <w:ind w:firstLine="720"/>
        <w:jc w:val="both"/>
      </w:pPr>
      <w:r>
        <w:rPr>
          <w:rFonts w:ascii="Times New Roman" w:cs="Times New Roman" w:eastAsia="Times New Roman" w:hAnsi="Times New Roman"/>
          <w:color w:val="000000"/>
          <w:sz w:val="24"/>
          <w:szCs w:val="24"/>
        </w:rPr>
        <w:t xml:space="preserve">La hipótesis inicial de un gradiente simple por rango militar — a menor rango, mayor congruencia multimodal — no se confirma completamente: Dabeiba tiene el ICM más alto a pesar de que sus comparecientes son oficiales de rango medio (coroneles y tenientes coroneles), mientras que los soldados rasos de Huila tienen ICM=0.299. Una interpretación más robusta es por materialidad del subcaso: Dabeiba es el contexto más físicamente concreto del corpus — los comparecientes guiaron personalmente a los investigadores a 49 fosas en el cementerio Las Mercedes de Dabeiba, donde se recuperaron los cuerpos de las víctimas. Esta materialidad puede generar mayor distress facial independientemente del rango, al activar memorias episódicas del acto criminal concreto en lugar de una narrativa institucional abstracta.</w:t>
      </w:r>
    </w:p>
    <w:p>
      <w:pPr>
        <w:spacing w:after="200" w:line="360" w:lineRule="auto"/>
        <w:ind w:firstLine="720"/>
        <w:jc w:val="both"/>
      </w:pPr>
      <w:r>
        <w:rPr>
          <w:rFonts w:ascii="Times New Roman" w:cs="Times New Roman" w:eastAsia="Times New Roman" w:hAnsi="Times New Roman"/>
          <w:color w:val="000000"/>
          <w:sz w:val="24"/>
          <w:szCs w:val="24"/>
        </w:rPr>
        <w:t xml:space="preserve">Un hallazgo robusto del análisis individual es el perfil de Torres Escalante (Casanare): presenta la mayor sonrisa (AU12) y el menor ceño (AU4) entre los comparecientes con buena detección, un patrón facial contenido que contrasta marcadamente con su canal vocal —el más alto del corpus. El General Torres Escalante es el compareciente de mayor rango del corpus, con mayor experiencia en comunicación institucional. En el otro extremo, varios comparecientes de Huila y Dabeiba presentan alto distress facial (AU4 elevado) con baja sonrisa.</w:t>
      </w:r>
    </w:p>
    <w:p>
      <w:pPr>
        <w:spacing w:after="200" w:line="360" w:lineRule="auto"/>
        <w:ind w:firstLine="720"/>
        <w:jc w:val="both"/>
      </w:pPr>
      <w:r>
        <w:rPr>
          <w:sz w:val="24"/>
          <w:szCs w:val="24"/>
        </w:rPr>
        <w:t xml:space="preserve">El canal prosódico (ICM vocal) confirma y matiza el hallazgo facial. El caso de Torres Escalante (Casanare) constituye el hallazgo más interpretativo de la Capa 3: su canal vocal es el más alto del corpus (0.624, con el shimmer más elevado, indicando alta carga emocional prosódica) mientras su canal facial es comparativamente bajo (0.346). Esta divergencia entre los dos canales no verbales (Δ=0.278) es la mayor del corpus: la voz comunica distress prosódico mientras el rostro mantiene una expresión contenida. Los dos canales apuntan en direcciones opuestas —una incongruencia entre canales no verbales que ningún análisis monomodal podría capturar.</w:t>
      </w:r>
    </w:p>
    <w:p>
      <w:pPr>
        <w:spacing w:after="200" w:line="360" w:lineRule="auto"/>
        <w:ind w:firstLine="720"/>
        <w:jc w:val="both"/>
      </w:pPr>
      <w:r>
        <w:rPr>
          <w:sz w:val="24"/>
          <w:szCs w:val="24"/>
        </w:rPr>
        <w:t xml:space="preserve">El ICM tri-canal (0.40·facial + 0.40·vocal + 0.20·verbal), calculado a nivel individual del compareciente, revela que la congruencia multimodal es un atributo del compareciente y no del subcaso: la dispersión intra-subcaso es sustancial y, en Huila y Dabeiba, supera las diferencias entre las medias de los subcasos. El Capitán Chaparro (Catatumbo) ejemplifica la disociación léxico-semántica: pese a un perfil facial-vocal relativamente congruente, su canal verbal es el más distante del lenguaje de MAFAPO (y₈=0.179) —habla en la audiencia con el mayor distanciamiento semántico respecto al lenguaje de las víctimas, el canal que más importa para la reparación simbólica. La validación de robustez de los pesos (§5.16) confirma que el ordenamiento de comparecientes es estable ante variaciones razonables de la ponderación.</w:t>
      </w:r>
    </w:p>
    <w:p>
      <w:pPr>
        <w:spacing w:after="200" w:line="360" w:lineRule="auto"/>
        <w:ind w:firstLine="720"/>
        <w:jc w:val="both"/>
      </w:pPr>
      <w:r>
        <w:rPr>
          <w:sz w:val="24"/>
          <w:szCs w:val="24"/>
        </w:rPr>
        <w:t xml:space="preserve">6.1.8 La disociación de canales como hallazgo central del Corpus C
El análisis integrado del Corpus C con los seis indicadores CFH (y₂, y₄, y₁₀, y₈, y₉ más ICM tri-canal) revela que la disociación entre canales discursivos es el patrón estructural dominante en las audiencias de reconocimiento JEP. En ningún subcaso todos los indicadores apuntan en la misma dirección simultaneamente.
Casanare (Torres Escalante) presenta el perfil de mayor distancia discursiva multi-indicador: mayor y₂ SA (0.974), mayor y₄ NV (0.483). La voz comunica distress prosódico alto (el shimmer mayor del corpus) mientras la cara comunica una expresión contenida (AU12 alto, AU4 bajo) — los canales no verbales apuntan en direcciones opuestas (Δ vocal-facial=0.278, la mayor del corpus).
Catatumbo (Capitán Chaparro) produce el hallazgo más contraintuitivo: menor y₂ SA (0.532) y menor y₄ NV (0.220) — el discurso más gramaticalmente directo y con menor negación de victimización — pero su canal semántico es el más distante del lenguaje de MAFAPO (y₈=0.179). Habla directamente pero habla lejos de las víctimas.
Dabeiba (12 comparecientes) presenta una de las mayores dispersiones individuales del corpus (ICM de 0.242 a 0.498) y baja distancia MAFAPO (y₈=0.189). La materialidad del reconocimiento —49 fosas físicamente recuperadas en el cementerio Las Mercedes— coexiste con perfiles multimodales individuales diversos, lo que matiza una lectura uniforme del subcaso.
Huila (suboficial y otros) es el subcaso semánticamente más cercano a las víctimas: menor distancia MAFAPO (y₈=0.186) y mayor lenguaje reparatorio (y₁₀=0.147).
Esta disociación valida metodológicamente la arquitectura multi-capa del framework CFH: un análisis mono-canal hubiera producido conclusiones erróneas. El ICM tri-canal sintetiza la información de tres canales en un índice interpretativo que captura la coherencia discursiva global.</w:t>
      </w:r>
    </w:p>
    <w:p>
      <w:pPr>
        <w:spacing w:after="200" w:line="360" w:lineRule="auto"/>
        <w:ind w:firstLine="720"/>
        <w:jc w:val="both"/>
      </w:pPr>
      <w:r>
        <w:rPr>
          <w:rFonts w:ascii="Times New Roman" w:cs="Times New Roman" w:eastAsia="Times New Roman" w:hAnsi="Times New Roman"/>
          <w:color w:val="000000"/>
          <w:sz w:val="24"/>
          <w:szCs w:val="24"/>
        </w:rPr>
        <w:t xml:space="preserve">El subcaso Catatumbo presenta el AU15 más alto del corpus (0.011 — tristeza/dolor), coherente con ser la primera audiencia de reconocimiento de la JEP (26-27 abril 2022), descrita por la magistrada Catalina Díaz como una 'catarsis colectiva'. El AU15 elevado del Capitán Chaparro puede reflejar la intensidad emocional singular del primer encuentro público con las víctimas, sin el precedente institucional de audiencias anteriores.</w:t>
      </w:r>
    </w:p>
    <w:p>
      <w:pPr>
        <w:spacing w:after="200" w:line="360" w:lineRule="auto"/>
        <w:ind w:firstLine="720"/>
        <w:jc w:val="both"/>
      </w:pPr>
      <w:r>
        <w:rPr>
          <w:rFonts w:ascii="Times New Roman" w:cs="Times New Roman" w:eastAsia="Times New Roman" w:hAnsi="Times New Roman"/>
          <w:color w:val="000000"/>
          <w:sz w:val="24"/>
          <w:szCs w:val="24"/>
        </w:rPr>
        <w:t>La tasa de detección facial varía entre comparecientes, lo que se incorpora explícitamente a la marca de robustez individual (sólido / mínimo): los comparecientes con evidencia escasa en algún canal se señalan como robustez mínima para transparencia metodológica. Costa Caribe (subcaso La Popa, julio 2022) fue incorporado plenamente al análisis con el canal facial reextraído de forma homogénea (5.396 frames), completando el Corpus C en los cinco subcasos del Macrocaso 003.</w:t>
      </w:r>
    </w:p>
    <w:p>
      <w:pPr>
        <w:spacing w:after="200" w:line="360" w:lineRule="auto"/>
        <w:ind w:firstLine="720"/>
        <w:jc w:val="both"/>
      </w:pPr>
      <w:r>
        <w:rPr>
          <w:sz w:val="24"/>
          <w:szCs w:val="24"/>
        </w:rPr>
        <w:t xml:space="preserve">Una limitación metodológica crítica de MediaPipe FaceLandmarker es su sesgo de entrenamiento. Buolamwini y Gebru (2018) demostraron que los clasificadores de reconocimiento facial comerciales presentan tasas de error significativamente mayores en personas de piel oscura (hasta 34.7 puntos de diferencia). No existe auditoría pública de MediaPipe sobre rostros mestizos, afrocolombianos o indígenas. Los resultados de la Capa 3 facial deben interpretarse con esta limitación explícita, y una auditoría intersectional conforme al protocolo Gender Shades es una línea futura prioritaria.</w:t>
      </w:r>
    </w:p>
    <w:p>
      <w:pPr>
        <w:spacing w:after="200" w:line="360" w:lineRule="auto"/>
        <w:ind w:firstLine="720"/>
        <w:jc w:val="both"/>
      </w:pPr>
      <w:r>
        <w:rPr>
          <w:rFonts w:ascii="Times New Roman" w:cs="Times New Roman" w:eastAsia="Times New Roman" w:hAnsi="Times New Roman"/>
          <w:b/>
          <w:sz w:val="24"/>
          <w:szCs w:val="24"/>
        </w:rPr>
        <w:t xml:space="preserve">Supresión de Action Units bucales por el habla. </w:t>
      </w:r>
      <w:r>
        <w:rPr>
          <w:rFonts w:ascii="Times New Roman" w:cs="Times New Roman" w:eastAsia="Times New Roman" w:hAnsi="Times New Roman"/>
          <w:sz w:val="24"/>
          <w:szCs w:val="24"/>
        </w:rPr>
        <w:t xml:space="preserve">El análisis de la composición del distress facial (§5.9) reveló un comportamiento que enriquece la interpretación del canal facial en contextos forenses orales: las Action Units de la región bucal (AU15, AU17) muestran supresión sistemática durante el habla —AU17 desciende cerca del 80% en los frames de habla activa—, mientras AU4 (ceño), independiente del aparato fonador, permanece como el indicador de distress más estable. Esto implica que, en audiencias donde los comparecientes hablan de forma continua, la señal facial de distress se concentra en la región frontal. Lejos de invalidar la medición, este hallazgo precisa su alcance y constituye una contribución metodológica al análisis facial multimodal en escenarios de habla.</w:t>
      </w:r>
    </w:p>
    <w:p>
      <w:pPr>
        <w:spacing w:after="200" w:line="360" w:lineRule="auto"/>
        <w:ind w:firstLine="720"/>
        <w:jc w:val="both"/>
      </w:pPr>
      <w:r>
        <w:rPr>
          <w:i/>
          <w:sz w:val="20"/>
          <w:szCs w:val="20"/>
          <w:color w:val="2E4057"/>
        </w:rPr>
        <w:t xml:space="preserve">Buolamwini, J., y Gebru, T. (2018). Gender Shades: Intersectional Accuracy Disparities in Commercial Gender Classification. Proceedings of Machine Learning Research, 81, 1–15.</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6.2 Respuesta a cuestionamientos anticipados</w:t>
      </w:r>
    </w:p>
    <w:p>
      <w:pPr>
        <w:pStyle w:val="Heading3"/>
        <w:spacing w:after="140" w:before="280"/>
        <w:outlineLvl w:val="2"/>
      </w:pPr>
      <w:r>
        <w:rPr>
          <w:rFonts w:ascii="Times New Roman" w:cs="Times New Roman" w:eastAsia="Times New Roman" w:hAnsi="Times New Roman"/>
          <w:b/>
          <w:bCs/>
          <w:i/>
          <w:iCs/>
          <w:color w:val="000000"/>
          <w:sz w:val="24"/>
          <w:szCs w:val="24"/>
        </w:rPr>
        <w:t xml:space="preserve">6.2.1 ¿La JEP está obligada por mandato a producir REP?</w:t>
      </w:r>
    </w:p>
    <w:p>
      <w:pPr>
        <w:spacing w:after="200" w:line="360" w:lineRule="auto"/>
        <w:ind w:firstLine="720"/>
        <w:jc w:val="both"/>
      </w:pPr>
      <w:r>
        <w:rPr>
          <w:rFonts w:ascii="Times New Roman" w:cs="Times New Roman" w:eastAsia="Times New Roman" w:hAnsi="Times New Roman"/>
          <w:color w:val="000000"/>
          <w:sz w:val="24"/>
          <w:szCs w:val="24"/>
        </w:rPr>
        <w:t xml:space="preserve">Si el REP del Corpus B fuera únicamente un artefacto del mandato normativo del Acto Legislativo 01 de 2017, debería distribuirse uniformemente en todas las secciones JEP. Sin embargo, la sección PATRONES_MACROCRIMINALES tiene REP=0.000 y la sección RECONOCIMIENTO tiene REP máximo=0.849. Esta heterogeneidad interna es incompatible con un artefacto normativo uniforme. Adicionalmente, el control temporal muestra que la brecha semántica (y₈, y₉) persiste incluso comparando documentos contemporáneos — lo que no podría explicarse por el mandato normativo.</w:t>
      </w:r>
    </w:p>
    <w:p>
      <w:pPr>
        <w:pStyle w:val="Heading3"/>
        <w:spacing w:after="140" w:before="280"/>
        <w:outlineLvl w:val="2"/>
      </w:pPr>
      <w:r>
        <w:rPr>
          <w:rFonts w:ascii="Times New Roman" w:cs="Times New Roman" w:eastAsia="Times New Roman" w:hAnsi="Times New Roman"/>
          <w:b/>
          <w:bCs/>
          <w:i/>
          <w:iCs/>
          <w:color w:val="000000"/>
          <w:sz w:val="24"/>
          <w:szCs w:val="24"/>
        </w:rPr>
        <w:t xml:space="preserve">6.2.2 ¿Los géneros textuales son comparables?</w:t>
      </w:r>
    </w:p>
    <w:p>
      <w:pPr>
        <w:spacing w:after="200" w:line="360" w:lineRule="auto"/>
        <w:ind w:firstLine="720"/>
        <w:jc w:val="both"/>
      </w:pPr>
      <w:r>
        <w:rPr>
          <w:rFonts w:ascii="Times New Roman" w:cs="Times New Roman" w:eastAsia="Times New Roman" w:hAnsi="Times New Roman"/>
          <w:color w:val="000000"/>
          <w:sz w:val="24"/>
          <w:szCs w:val="24"/>
        </w:rPr>
        <w:t xml:space="preserve">La incomparabilidad de géneros es el objeto de estudio, no una limitación (Swales, 1990; Bhatia, 1993). La CFH mide la distancia entre géneros como evidencia de la brecha discursiva. Adicionalmente, la varianza interna dentro del Corpus A — CE presenta mayor REP que CSJ (0.101 vs 0.059) pese a pertenecer al mismo sistema — indica que los extractores capturan variación semántica más allá de las diferencias de género.</w:t>
      </w:r>
    </w:p>
    <w:p>
      <w:pPr>
        <w:pStyle w:val="Heading3"/>
        <w:spacing w:after="140" w:before="280"/>
        <w:outlineLvl w:val="2"/>
      </w:pPr>
      <w:r>
        <w:rPr>
          <w:rFonts w:ascii="Times New Roman" w:cs="Times New Roman" w:eastAsia="Times New Roman" w:hAnsi="Times New Roman"/>
          <w:b/>
          <w:bCs/>
          <w:i/>
          <w:iCs/>
          <w:color w:val="000000"/>
          <w:sz w:val="24"/>
          <w:szCs w:val="24"/>
        </w:rPr>
        <w:t xml:space="preserve">6.2.3 ¿La brecha es temporal, no estructural?</w:t>
      </w:r>
    </w:p>
    <w:p>
      <w:pPr>
        <w:spacing w:after="200" w:line="360" w:lineRule="auto"/>
        <w:ind w:firstLine="720"/>
        <w:jc w:val="both"/>
      </w:pPr>
      <w:r>
        <w:rPr>
          <w:rFonts w:ascii="Times New Roman" w:cs="Times New Roman" w:eastAsia="Times New Roman" w:hAnsi="Times New Roman"/>
          <w:color w:val="000000"/>
          <w:sz w:val="24"/>
          <w:szCs w:val="24"/>
        </w:rPr>
        <w:t xml:space="preserve">El control temporal (§5.7.1) responde directamente: la brecha semántica profunda (y₈ MAFAPO y y₉ CIDH) es estructural — persiste con p&lt;0.001 comparando documentos del mismo período 2018-2023. La brecha en REP léxico es parcialmente temporal, lo que se reporta con transparencia como un matiz importante de los hallazgos.</w:t>
      </w:r>
    </w:p>
    <w:p>
      <w:pPr>
        <w:pStyle w:val="Heading3"/>
        <w:spacing w:after="140" w:before="280"/>
        <w:outlineLvl w:val="2"/>
      </w:pPr>
      <w:r>
        <w:rPr>
          <w:rFonts w:ascii="Times New Roman" w:cs="Times New Roman" w:eastAsia="Times New Roman" w:hAnsi="Times New Roman"/>
          <w:b/>
          <w:bCs/>
          <w:i/>
          <w:iCs/>
          <w:color w:val="000000"/>
          <w:sz w:val="24"/>
          <w:szCs w:val="24"/>
        </w:rPr>
        <w:t xml:space="preserve">6.2.4 ¿El SEM no converge?</w:t>
      </w:r>
    </w:p>
    <w:p>
      <w:pPr>
        <w:spacing w:after="200" w:line="360" w:lineRule="auto"/>
        <w:ind w:firstLine="720"/>
        <w:jc w:val="both"/>
      </w:pPr>
      <w:r>
        <w:rPr>
          <w:rFonts w:ascii="Times New Roman" w:cs="Times New Roman" w:eastAsia="Times New Roman" w:hAnsi="Times New Roman"/>
          <w:color w:val="000000"/>
          <w:sz w:val="24"/>
          <w:szCs w:val="24"/>
        </w:rPr>
        <w:t>El modelo SEM con variables latentes completo no resultó identificable con el tamaño del Corpus C (n=47): esta es una limitación estructural reportada con transparencia, no un fracaso oculto. El análisis de senderos sobre indicadores observados y los modelos SEM exploratorios producen coeficientes interpretables —notablemente la relación robusta y₈→y₁₀—, y constituyen el nivel de modelado estructural apropiado para el tamaño muestral disponible. El modelado latente confirmatorio queda como línea futura condicionada a la ampliación del corpus oral.</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6.3 Limitaciones de la investigación</w:t>
      </w:r>
    </w:p>
    <w:p>
      <w:pPr>
        <w:pStyle w:val="Heading3"/>
        <w:spacing w:after="140" w:before="280"/>
        <w:outlineLvl w:val="2"/>
      </w:pPr>
      <w:r>
        <w:rPr>
          <w:rFonts w:ascii="Times New Roman" w:cs="Times New Roman" w:eastAsia="Times New Roman" w:hAnsi="Times New Roman"/>
          <w:b/>
          <w:bCs/>
          <w:i/>
          <w:iCs/>
          <w:color w:val="000000"/>
          <w:sz w:val="24"/>
          <w:szCs w:val="24"/>
        </w:rPr>
        <w:t xml:space="preserve">6.3.1 Limitaciones del corpus</w:t>
      </w:r>
    </w:p>
    <w:p>
      <w:pPr>
        <w:spacing w:after="200" w:line="360" w:lineRule="auto"/>
        <w:ind w:firstLine="720"/>
        <w:jc w:val="both"/>
      </w:pPr>
      <w:r>
        <w:rPr>
          <w:rFonts w:ascii="Times New Roman" w:cs="Times New Roman" w:eastAsia="Times New Roman" w:hAnsi="Times New Roman"/>
          <w:color w:val="000000"/>
          <w:sz w:val="24"/>
          <w:szCs w:val="24"/>
        </w:rPr>
        <w:t>El Corpus B se analiza a nivel de sus 80 secciones temáticas, extraídas de 14 documentos únicos de la SRVR del Macrocaso 003 disponibles públicamente al cierre del corpus. El Corpus C (38.1 horas, 5 audiencias, 47 comparecientes) amplía el análisis al registro oral con diarización y marcación por compareciente. La tasa de detección facial varía entre audiencias, lo que limita la comparabilidad inter-audiencia en el canal facial del ICM. El canal facial del subcaso Costa Caribe (La Popa, julio 2022) fue reextraído de forma homogénea con MediaPipe FaceLandmarker, completando el Corpus C en los cinco subcasos. En cuanto a la normalización, el ICM tri-canal adopta un criterio diferenciado por canal: el facial se normaliza por z-score comparativo sobre el corpus, el vocal mediante una escala fija anclada en valores de referencia de la literatura, y el verbal como proporción del discurso reparador. Este diseño evita que el índice dependa de los percentiles internos de la muestra y fortalece su reproducibilidad. La comparabilidad estricta con corpus externos requiere validación adicional de transferibilidad.</w:t>
      </w:r>
    </w:p>
    <w:p>
      <w:pPr>
        <w:pStyle w:val="Heading3"/>
        <w:spacing w:after="140" w:before="280"/>
        <w:outlineLvl w:val="2"/>
      </w:pPr>
      <w:r>
        <w:rPr>
          <w:rFonts w:ascii="Times New Roman" w:cs="Times New Roman" w:eastAsia="Times New Roman" w:hAnsi="Times New Roman"/>
          <w:b/>
          <w:bCs/>
          <w:i/>
          <w:iCs/>
          <w:color w:val="000000"/>
          <w:sz w:val="24"/>
          <w:szCs w:val="24"/>
        </w:rPr>
        <w:t xml:space="preserve">6.3.2 Limitaciones de los extractores</w:t>
      </w:r>
    </w:p>
    <w:p>
      <w:pPr>
        <w:spacing w:after="200" w:line="360" w:lineRule="auto"/>
        <w:ind w:firstLine="720"/>
        <w:jc w:val="both"/>
      </w:pPr>
      <w:r>
        <w:rPr>
          <w:rFonts w:ascii="Times New Roman" w:cs="Times New Roman" w:eastAsia="Times New Roman" w:hAnsi="Times New Roman"/>
          <w:color w:val="000000"/>
          <w:sz w:val="24"/>
          <w:szCs w:val="24"/>
        </w:rPr>
        <w:t>Los extractores léxico-sintácticos y₂-y₄ e y₁₀ fueron construidos sin fine-tuning supervisado. CFH-BERT v2 mejora significativamente sobre v1 (F1 macro: 0.27 → 0.58) pero sigue siendo un modelo piloto con 100 anotaciones. La versión definitiva se entrenará sobre un conjunto ampliado de anotaciones, partiendo del acuerdo inter-anotador sustancial ya alcanzado (κ global = 0.722 en dos rondas). El extractor y₁ EBI mantiene score=0.0 en todos los documentos — el fine-tuning supervisado es la tarea técnica más crítica pendiente.</w:t>
      </w:r>
    </w:p>
    <w:p>
      <w:pPr>
        <w:pStyle w:val="Heading3"/>
        <w:spacing w:after="140" w:before="280"/>
        <w:outlineLvl w:val="2"/>
      </w:pPr>
      <w:r>
        <w:rPr>
          <w:rFonts w:ascii="Times New Roman" w:cs="Times New Roman" w:eastAsia="Times New Roman" w:hAnsi="Times New Roman"/>
          <w:b/>
          <w:bCs/>
          <w:i/>
          <w:iCs/>
          <w:color w:val="000000"/>
          <w:sz w:val="24"/>
          <w:szCs w:val="24"/>
        </w:rPr>
        <w:t xml:space="preserve">6.3.3 Limitaciones estadísticas</w:t>
      </w:r>
    </w:p>
    <w:p>
      <w:pPr>
        <w:spacing w:after="200" w:line="360" w:lineRule="auto"/>
        <w:jc w:val="both"/>
      </w:pPr>
      <w:r>
        <w:rPr>
          <w:rFonts w:ascii="Times New Roman" w:cs="Times New Roman" w:eastAsia="Times New Roman" w:hAnsi="Times New Roman"/>
          <w:sz w:val="24"/>
          <w:szCs w:val="24"/>
        </w:rPr>
        <w:t>El análisis de Cohen's d (N_B=80) confirma que los efectos sustantivos residen en los indicadores semánticos (y₈ d=1.39, y₉ d=0.95) y en el reconocimiento (y₁₀ d=0.61), mientras el DIS agregado no distingue significativamente los dos sistemas (p=0.0688). La magnitud práctica de la brecha reside en la cercanía al lenguaje de las víctimas y en el reconocimiento —sintetizados en el IEI—, no en el índice discursivo de superficie agregado.</w:t>
      </w:r>
    </w:p>
    <w:p>
      <w:pPr>
        <w:pStyle w:val="Heading3"/>
        <w:spacing w:after="140" w:before="280"/>
        <w:outlineLvl w:val="2"/>
      </w:pPr>
      <w:r>
        <w:rPr>
          <w:rFonts w:ascii="Times New Roman" w:cs="Times New Roman" w:eastAsia="Times New Roman" w:hAnsi="Times New Roman"/>
          <w:b/>
          <w:bCs/>
          <w:i/>
          <w:iCs/>
          <w:color w:val="000000"/>
          <w:sz w:val="24"/>
          <w:szCs w:val="24"/>
        </w:rPr>
        <w:t xml:space="preserve">6.3.4 Limitaciones epistemológicas y éticas</w:t>
      </w:r>
    </w:p>
    <w:p>
      <w:pPr>
        <w:spacing w:after="200" w:line="360" w:lineRule="auto"/>
        <w:ind w:firstLine="720"/>
        <w:jc w:val="both"/>
      </w:pPr>
      <w:r>
        <w:rPr>
          <w:rFonts w:ascii="Times New Roman" w:cs="Times New Roman" w:eastAsia="Times New Roman" w:hAnsi="Times New Roman"/>
          <w:color w:val="000000"/>
          <w:sz w:val="24"/>
          <w:szCs w:val="24"/>
        </w:rPr>
        <w:t xml:space="preserve">Una limitación epistemológica es que la brecha en REP léxico es parcialmente temporal — los documentos recientes del CE también tienen mayor REP. La brecha semántica profunda (y₈, y₉) es estructural, pero el REP léxico requiere interpretación cuidadosa.</w:t>
      </w:r>
    </w:p>
    <w:p>
      <w:pPr>
        <w:spacing w:after="200" w:line="360" w:lineRule="auto"/>
        <w:ind w:firstLine="720"/>
        <w:jc w:val="both"/>
      </w:pPr>
      <w:r>
        <w:rPr>
          <w:rFonts w:ascii="Times New Roman" w:cs="Times New Roman" w:eastAsia="Times New Roman" w:hAnsi="Times New Roman"/>
          <w:color w:val="000000"/>
          <w:sz w:val="24"/>
          <w:szCs w:val="24"/>
        </w:rPr>
        <w:t xml:space="preserve">Una limitación ética concierne al uso de los testimonios de MAFAPO como corpus de referencia técnica. Los textos utilizados son comunicados públicos producidos para ser conocidos — no testimonios privados. Sin embargo, existe una tensión ética entre usar el lenguaje de las víctimas como referencia técnica y la participación directa de las organizaciones en el diseño del sistema. Como trabajo futuro se propone una fase de validación participativa con MAFAPO donde las propias organizaciones evalúen si los resultados CFH son coherentes con sus demandas de reconocimiento.</w:t>
      </w:r>
    </w:p>
    <w:p>
      <w:pPr>
        <w:spacing w:after="120"/>
      </w:pPr>
      <w:r>
        <w:rPr>
          <w:rFonts w:ascii="Times New Roman" w:cs="Times New Roman" w:eastAsia="Times New Roman" w:hAnsi="Times New Roman"/>
          <w:color w:val="000000"/>
          <w:sz w:val="24"/>
          <w:szCs w:val="24"/>
        </w:rPr>
        <w:t xml:space="preserve"/>
      </w:r>
    </w:p>
    <w:p>
      <w:pPr>
        <w:pStyle w:val="Normal"/>
      </w:pPr>
      <w:r>
        <w:rPr/>
        <w:t xml:space="preserve">D5 — ICM con N=5 subcasos: N=5 es el universo completo de audiencias disponibles del Macrocaso 003 — no una muestra. El análisis ICM no tiene pretensión inferencial estadística: es un análisis de perfiles que describe la configuración multimodal de cada compareciente. Las correlaciones reportadas (rho=+0.90 entre DIS y dis_tri) son exploratorias. La contribución del ICM es metodológica — demostrar la viabilidad del análisis tri-canal en el archivo judicial colombiano.</w:t>
      </w:r>
    </w:p>
    <w:p>
      <w:pPr>
        <w:pStyle w:val="Normal"/>
      </w:pPr>
      <w:r>
        <w:rPr/>
        <w:t>D4 — Tamaño del Corpus B: las 80 secciones del Corpus B corresponden a los 14 documentos JEP del Macrocaso 003 disponibles públicamente al cierre del corpus —una restricción institucional, no una decisión muestral. El poder estadístico para detectar efectos pequeños con este tamaño es limitado, lo que afecta la comparación A vs B en los indicadores de efecto reducido, pero no compromete los hallazgos de efecto grande (y₈, y₉, REP) ni los resultados del Corpus C. Se propone ampliar el Corpus B en trabajos futuros a medida que la JEP publique nuevas providencias.</w:t>
      </w:r>
    </w:p>
    <w:p>
      <w:pPr>
        <w:pStyle w:val="Normal"/>
      </w:pPr>
      <w:r>
        <w:rPr/>
        <w:t>D3 — La ausencia de discriminación del DIS agregado: el DIS, al combinar la supresión de agentividad (transversal al género jurídico) con el eufemismo bélico y el reconocimiento, diluye en el agregado la señal de los componentes que sí discriminan. Esta dilución por agregación es la razón de que el índice compuesto no separe los sistemas, mientras que sus componentes individuales (REP) y el IEI sí lo hacen. No es un defecto del índice sino una propiedad de la estructura de los datos: la injusticia discursiva de superficie es en buena medida compartida por ambos sistemas de justicia.</w:t>
      </w:r>
    </w:p>
    <w:p>
      <w:pPr>
        <w:pStyle w:val="Normal"/>
      </w:pPr>
      <w:r>
        <w:rPr/>
        <w:t>D2 — La asimetría entre el DIS y el IEI no es un fallo del modelo: es el hallazgo central. El DIS mide la injusticia discursiva de superficie —estructural al campo jurídico en ambos sistemas, en el sentido habermasiano— mientras el IEI mide la injusticia epistémica frickeriana, que sí diferencia la justicia ordinaria de la transicional. La baja correlación empírica entre ambos índices demuestra que capturan dimensiones independientes del daño. Un modelo en el que ambos discriminaran de igual forma sería redundante; su disociación es precisamente lo que revela la estructura multidimensional de la injusticia.</w:t>
      </w:r>
    </w:p>
    <w:p>
      <w:pPr>
        <w:pStyle w:val="Normal"/>
      </w:pPr>
      <w:r>
        <w:rPr/>
        <w:t>D1 — Que el DIS agregado no discrimine significativamente la justicia ordinaria de la transicional escrita (p=0.0688) es coherente con el marco teórico, no una debilidad. La supresión de agentividad y los mecanismos discursivos de superficie son constitutivos del lenguaje jurídico-institucional colombiano en ambos sistemas —la distorsión habermasiana del campo jurídico. La brecha entre sistemas es epistémica: se manifiesta en el IEI (la cercanía al lenguaje de las víctimas y la reducción del déficit de credibilidad), no en la gramática discursiva de superficie. Este resultado es teóricamente consistente con Habermas y con Fricker.</w:t>
      </w:r>
    </w:p>
    <w:p>
      <w:pPr>
        <w:pStyle w:val="Heading3"/>
        <w:spacing w:after="140" w:before="280"/>
        <w:outlineLvl w:val="2"/>
      </w:pPr>
      <w:r>
        <w:rPr>
          <w:rFonts w:ascii="Times New Roman" w:cs="Times New Roman" w:eastAsia="Times New Roman" w:hAnsi="Times New Roman"/>
          <w:b/>
          <w:bCs/>
          <w:i/>
          <w:iCs/>
          <w:color w:val="000000"/>
          <w:sz w:val="24"/>
          <w:szCs w:val="24"/>
        </w:rPr>
        <w:t>6.3.5 Marco de inteligencia artificial responsable y cumplimiento normativo</w:t>
      </w:r>
    </w:p>
    <w:p>
      <w:pPr>
        <w:spacing w:after="200" w:line="360" w:lineRule="auto"/>
        <w:ind w:firstLine="720"/>
        <w:jc w:val="both"/>
      </w:pPr>
      <w:r>
        <w:rPr>
          <w:rFonts w:ascii="Times New Roman" w:cs="Times New Roman" w:eastAsia="Times New Roman" w:hAnsi="Times New Roman"/>
          <w:color w:val="000000"/>
          <w:sz w:val="24"/>
          <w:szCs w:val="24"/>
        </w:rPr>
        <w:t>El desarrollo de la CFH se enmarca deliberadamente en los principios de la inteligencia artificial responsable, dada la sensibilidad del dominio —el archivo judicial de crímenes de lesa humanidad— y de los sujetos concernidos —las víctimas de los falsos positivos. El framework se diseñó para ser conforme con los marcos normativos nacionales e internacionales aplicables al uso de IA en contextos de administración de justicia y derechos humanos.</w:t>
      </w:r>
    </w:p>
    <w:p>
      <w:pPr>
        <w:spacing w:after="200" w:line="360" w:lineRule="auto"/>
        <w:ind w:firstLine="720"/>
        <w:jc w:val="both"/>
      </w:pPr>
      <w:r>
        <w:rPr>
          <w:rFonts w:ascii="Times New Roman" w:cs="Times New Roman" w:eastAsia="Times New Roman" w:hAnsi="Times New Roman"/>
          <w:color w:val="000000"/>
          <w:sz w:val="24"/>
          <w:szCs w:val="24"/>
        </w:rPr>
        <w:t>En el plano nacional, la Directiva Presidencial 007 de 2019 y el marco de política pública colombiano sobre transformación digital e inteligencia artificial (CONPES 3975 de 2019) establecen principios de transparencia, responsabilidad, no discriminación y supervisión humana en el uso de sistemas de IA por parte del Estado y en asuntos de interés público. La CFH se alinea con estos principios: su código y sus datos de referencia son públicos y auditables, sus indicadores son interpretables y trazables a marcos teóricos explícitos, y toda inferencia del sistema está sujeta a verificación humana mediante el proceso de anotación y la fiabilidad inter-anotador.</w:t>
      </w:r>
    </w:p>
    <w:p>
      <w:pPr>
        <w:spacing w:after="200" w:line="360" w:lineRule="auto"/>
        <w:ind w:firstLine="720"/>
        <w:jc w:val="both"/>
      </w:pPr>
      <w:r>
        <w:rPr>
          <w:rFonts w:ascii="Times New Roman" w:cs="Times New Roman" w:eastAsia="Times New Roman" w:hAnsi="Times New Roman"/>
          <w:color w:val="000000"/>
          <w:sz w:val="24"/>
          <w:szCs w:val="24"/>
        </w:rPr>
        <w:t>En el plano internacional, el marco se orienta por cuatro referentes. El Reglamento Europeo de Inteligencia Artificial (AI Act, Reglamento UE 2024/1689) clasifica como de alto riesgo los sistemas de IA empleados en la administración de justicia; aunque la CFH es una herramienta de investigación y no un sistema de decisión judicial automatizada, adopta las salvaguardas exigidas a esa categoría: transparencia, documentación técnica, supervisión humana y ausencia de decisiones automatizadas sobre personas. El Reglamento General de Protección de Datos (GDPR) informa el tratamiento de la información: la CFH opera exclusivamente sobre documentos públicos y testimonios difundidos públicamente por las propias organizaciones de víctimas, sin procesar datos personales privados ni reidentificar individuos. El AI Risk Management Framework del NIST (Estados Unidos, 2023) orienta la gestión de riesgos del sistema mediante la declaración explícita de limitaciones y sesgos. Y los Principios de la OCDE sobre Inteligencia Artificial (2019) —IA confiable, centrada en el ser humano y respetuosa de los derechos— enmarcan el propósito último del framework.</w:t>
      </w:r>
    </w:p>
    <w:p>
      <w:pPr>
        <w:spacing w:after="200" w:line="360" w:lineRule="auto"/>
        <w:ind w:firstLine="720"/>
        <w:jc w:val="both"/>
      </w:pPr>
      <w:r>
        <w:rPr>
          <w:rFonts w:ascii="Times New Roman" w:cs="Times New Roman" w:eastAsia="Times New Roman" w:hAnsi="Times New Roman"/>
          <w:color w:val="000000"/>
          <w:sz w:val="24"/>
          <w:szCs w:val="24"/>
        </w:rPr>
        <w:t>La conformidad de la CFH con estos marcos se concreta en cinco principios operativos. Primero, transparencia y reproducibilidad: el pipeline completo, los centroides de referencia y el protocolo de anotación están disponibles en un repositorio público, acompañados de un paquete reproducible auditado. Segundo, explicabilidad: los indicadores del framework son interpretables y están anclados en teoría —no constituyen una caja negra—, de modo que cada medición puede rastrearse hasta su fundamento conceptual. Tercero, no maleficencia: el Índice de Congruencia Multimodal (ICM) no infiere sinceridad, culpabilidad ni estados psicológicos internos —lo declara explícitamente—, evitando el riesgo de que la herramienta se emplee para juzgar la autenticidad individual de un compareciente. Cuarto, supervisión humana: las categorías se validan mediante anotación humana doble-ciega y acuerdo inter-anotador, y el sistema no produce decisiones automatizadas. Quinto, equidad y reconocimiento de sesgos: se documenta explícitamente que los modelos faciales no han sido auditados sobre rostros mestizos, afrocolombianos o indígenas (Buolamwini y Gebru, 2018), y los resultados de la Capa 3 se reportan con las salvaguardas epistemológicas correspondientes.</w:t>
      </w:r>
    </w:p>
    <w:p>
      <w:pPr>
        <w:spacing w:after="200" w:line="360" w:lineRule="auto"/>
        <w:ind w:firstLine="720"/>
        <w:jc w:val="both"/>
      </w:pPr>
      <w:r>
        <w:rPr>
          <w:rFonts w:ascii="Times New Roman" w:cs="Times New Roman" w:eastAsia="Times New Roman" w:hAnsi="Times New Roman"/>
          <w:color w:val="000000"/>
          <w:sz w:val="24"/>
          <w:szCs w:val="24"/>
        </w:rPr>
        <w:t>Este encuadre normativo no es accesorio al propósito de la CFH sino constitutivo de él. Un framework que audita el lenguaje del Estado desde la perspectiva de las víctimas debe someterse, en su propio diseño, a los estándares de responsabilidad que reclama para el ejercicio del poder institucional. La reparación algorítmica que la CFH propone sería incoherente si el instrumento mismo reprodujera la opacidad o la asimetría epistémica que denuncia. Por ello, la conformidad con los marcos de IA responsable es, en esta tesis, una condición de coherencia entre el método y su finalidad ética.</w:t>
      </w:r>
    </w:p>
    <w:p>
      <w:pPr>
        <w:pStyle w:val="Normal"/>
      </w:pPr>
      <w:r>
        <w:rPr/>
        <w:t xml:space="preserve">La evaluación crítica del framework CFH identificó cinco debilidades metodológicas que se documentan aquí con la evidencia empírica disponible.</w:t>
      </w:r>
    </w:p>
    <w:p>
      <w:pPr>
        <w:pStyle w:val="Heading 3"/>
      </w:pPr>
      <w:r>
        <w:rPr/>
        <w:t xml:space="preserve">6.3.5 Debilidades identificadas y respuestas metodológicas</w:t>
      </w:r>
    </w:p>
    <w:p>
      <w:pPr>
        <w:pStyle w:val="Heading2"/>
        <w:spacing w:after="180" w:before="360"/>
        <w:outlineLvl w:val="1"/>
      </w:pPr>
      <w:r>
        <w:rPr>
          <w:rFonts w:ascii="Times New Roman" w:cs="Times New Roman" w:eastAsia="Times New Roman" w:hAnsi="Times New Roman"/>
          <w:b/>
          <w:bCs/>
          <w:color w:val="000000"/>
          <w:sz w:val="26"/>
          <w:szCs w:val="26"/>
        </w:rPr>
        <w:t xml:space="preserve">6.4 Líneas de trabajo futuro</w:t>
      </w:r>
    </w:p>
    <w:p>
      <w:pPr>
        <w:spacing w:after="200" w:line="360" w:lineRule="auto"/>
        <w:ind w:firstLine="720"/>
        <w:jc w:val="both"/>
      </w:pPr>
      <w:r>
        <w:rPr>
          <w:rFonts w:ascii="Times New Roman" w:cs="Times New Roman" w:eastAsia="Times New Roman" w:hAnsi="Times New Roman"/>
          <w:b/>
          <w:bCs/>
          <w:color w:val="000000"/>
          <w:sz w:val="24"/>
          <w:szCs w:val="24"/>
        </w:rPr>
        <w:t>Corto plazo (antes de agosto 2026): ampliar la anotación con un segundo anotador sobre un conjunto mayor de fragmentos para robustecer el entrenamiento de CFH-BERT en su versión definitiva, partiendo del acuerdo inter-anotador sustancial ya alcanzado (κ global = 0.722 en dos rondas). Consolidar la extracción de features acústicas eGeMAPS sobre los segmentos de compareciente para el ICM tri-canal. Avanzar hacia la estimación de un modelo estructural con variables latentes a medida que el corpus oral se amplíe, dado que el tamaño actual (n=47) restringe el modelado latente al plano exploratorio.</w:t>
      </w:r>
      <w:r>
        <w:rPr>
          <w:rFonts w:ascii="Times New Roman" w:cs="Times New Roman" w:eastAsia="Times New Roman" w:hAnsi="Times New Roman"/>
          <w:color w:val="000000"/>
          <w:sz w:val="24"/>
          <w:szCs w:val="24"/>
        </w:rPr>
      </w:r>
    </w:p>
    <w:p>
      <w:pPr>
        <w:spacing w:after="200" w:line="360" w:lineRule="auto"/>
        <w:ind w:firstLine="720"/>
        <w:jc w:val="both"/>
      </w:pPr>
      <w:r>
        <w:rPr>
          <w:sz w:val="24"/>
          <w:szCs w:val="24"/>
        </w:rPr>
        <w:t xml:space="preserve">Las features eGeMAPS v02 fueron extraídas con OpenSMILE sobre 10.897 ventanas (4 subcasos), el ICM vocal del compareciente fue calculado mediante cruce con las diarizaciones AUs, y el ICM tri-canal ponderado fue calculado e integrado en el análisis presentado en el §5.11. Pendiente para trabajo futuro: integración en el modelo SEM completo.</w:t>
      </w:r>
    </w:p>
    <w:p>
      <w:pPr>
        <w:spacing w:after="200" w:line="360" w:lineRule="auto"/>
        <w:ind w:firstLine="720"/>
        <w:jc w:val="both"/>
      </w:pPr>
      <w:r>
        <w:rPr>
          <w:rFonts w:ascii="Times New Roman" w:cs="Times New Roman" w:eastAsia="Times New Roman" w:hAnsi="Times New Roman"/>
          <w:b/>
          <w:bCs/>
          <w:color w:val="000000"/>
          <w:sz w:val="24"/>
          <w:szCs w:val="24"/>
        </w:rPr>
        <w:t xml:space="preserve">Mediano plazo (2026-2027): </w:t>
      </w:r>
      <w:r>
        <w:rPr>
          <w:rFonts w:ascii="Times New Roman" w:cs="Times New Roman" w:eastAsia="Times New Roman" w:hAnsi="Times New Roman"/>
          <w:color w:val="000000"/>
          <w:sz w:val="24"/>
          <w:szCs w:val="24"/>
        </w:rPr>
        <w:t xml:space="preserve">extracción de features acústicas y₁₂ con OpenSMILE sobre el Corpus C. Re-estimación del modelo SEM con 12 indicadores incluyendo la dimensión multimodal oral-escrita. Fase de validación participativa con MAFAPO y otras organizaciones de víctimas del Caso 03, transformando la CFH en un instrumento de construcción conjunta de conocimiento. Dos validaciones complementarias del ICM se plantean como trabajo futuro, no como requisito de la presente investigación. Primera, la validación perceptual: la correlación entre el ICM calculado y la percepción humana de congruencia comunicativa —la coherencia entre lo que el compareciente dice y cómo lo expresa vocal y facialmente— sobre una muestra de segmentos del Corpus C, siguiendo el procedimiento de Baird y Coutinho (2019); coherentemente con las salvaguardas del índice, esta validación contrasta la congruencia entre canales, no la sinceridad psicológica individual. Segunda, la auditoría intersectional del canal facial conforme al protocolo Gender Shades (Buolamwini y Gebru, 2018), para evaluar si la tasa de detección de MediaPipe FaceLandmarker varía sistemáticamente según el tono de piel o los rasgos étnicos de los comparecientes —una verificación de equidad del instrumento especialmente pertinente en un corpus de comparecientes mestizos y afrocolombianos.</w:t>
      </w:r>
    </w:p>
    <w:p>
      <w:pPr>
        <w:spacing w:after="200" w:line="360" w:lineRule="auto"/>
        <w:ind w:firstLine="720"/>
        <w:jc w:val="both"/>
      </w:pPr>
      <w:r>
        <w:rPr>
          <w:rFonts w:ascii="Times New Roman" w:cs="Times New Roman" w:eastAsia="Times New Roman" w:hAnsi="Times New Roman"/>
          <w:b/>
          <w:bCs/>
          <w:color w:val="000000"/>
          <w:sz w:val="24"/>
          <w:szCs w:val="24"/>
        </w:rPr>
        <w:t xml:space="preserve">Largo plazo: </w:t>
      </w:r>
      <w:r>
        <w:rPr>
          <w:rFonts w:ascii="Times New Roman" w:cs="Times New Roman" w:eastAsia="Times New Roman" w:hAnsi="Times New Roman"/>
          <w:color w:val="000000"/>
          <w:sz w:val="24"/>
          <w:szCs w:val="24"/>
        </w:rPr>
        <w:t xml:space="preserve">extensión de la CFH a otros archivos judiciales de posconflicto — Guatemala (CEH), Argentina (CONADEP), Rwanda (Gacaca) — para evaluar si el modelo de brecha discursiva generaliza a otros contextos de justicia transicional y construir un índice comparativo internacional de injusticia discursiva.</w:t>
      </w:r>
    </w:p>
    <w:p>
      <w:pPr>
        <w:spacing w:after="200" w:line="360" w:lineRule="auto"/>
        <w:ind w:firstLine="720"/>
        <w:jc w:val="both"/>
      </w:pPr>
      <w:r>
        <w:rPr>
          <w:rFonts w:ascii="Times New Roman" w:cs="Times New Roman" w:eastAsia="Times New Roman" w:hAnsi="Times New Roman"/>
          <w:b/>
          <w:bCs/>
          <w:color w:val="000000"/>
          <w:sz w:val="24"/>
          <w:szCs w:val="24"/>
        </w:rPr>
        <w:t xml:space="preserve">Aplicaciones de política pública: </w:t>
      </w:r>
      <w:r>
        <w:rPr>
          <w:rFonts w:ascii="Times New Roman" w:cs="Times New Roman" w:eastAsia="Times New Roman" w:hAnsi="Times New Roman"/>
          <w:color w:val="000000"/>
          <w:sz w:val="24"/>
          <w:szCs w:val="24"/>
        </w:rPr>
        <w:t xml:space="preserve">el DIS Score tiene potencial como indicador de monitoreo de la calidad epistémica de los procesos de justicia transicional. Una versión operativa de la CFH podría integrarse en los sistemas de monitoreo de la JEP para evaluar en tiempo real si los reconocimientos cumplen los estándares de verdad completa y detallada exigidos por el Acuerdo de Paz.</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6.5 Conclusiones</w:t>
      </w:r>
    </w:p>
    <w:p>
      <w:pPr>
        <w:spacing w:after="200" w:line="360" w:lineRule="auto"/>
        <w:ind w:firstLine="720"/>
        <w:jc w:val="both"/>
      </w:pPr>
      <w:r>
        <w:rPr>
          <w:rFonts w:ascii="Times New Roman" w:cs="Times New Roman" w:eastAsia="Times New Roman" w:hAnsi="Times New Roman"/>
          <w:color w:val="000000"/>
          <w:sz w:val="24"/>
          <w:szCs w:val="24"/>
        </w:rPr>
        <w:t xml:space="preserve">Esta tesis presentó la Hermenéutica Forense Computacional (CFH), un marco teórico-metodológico original para medir la injusticia discursiva en el archivo judicial colombiano sobre los falsos positivos del Macrocaso 003 de la JEP. La investigación realizó tres contribuciones principales.</w:t>
      </w:r>
    </w:p>
    <w:p>
      <w:pPr>
        <w:spacing w:after="200" w:line="360" w:lineRule="auto"/>
        <w:ind w:firstLine="720"/>
        <w:jc w:val="both"/>
      </w:pPr>
      <w:r>
        <w:rPr>
          <w:rFonts w:ascii="Times New Roman" w:cs="Times New Roman" w:eastAsia="Times New Roman" w:hAnsi="Times New Roman"/>
          <w:color w:val="000000"/>
          <w:sz w:val="24"/>
          <w:szCs w:val="24"/>
        </w:rPr>
        <w:t xml:space="preserve">La primera contribución es conceptual: la operacionalización de los conceptos de violencia cultural (Galtung, 1990) y justicia como reconocimiento (Fraser, 1995) en indicadores computacionalmente extraíbles. El puente entre la teoría crítica del discurso y la ciencia de datos demostró ser fructífero: los patrones que el análisis cualitativo describe en casos individuales son detectables y medibles a escala del corpus completo.</w:t>
      </w:r>
    </w:p>
    <w:p>
      <w:pPr>
        <w:spacing w:after="200" w:line="360" w:lineRule="auto"/>
        <w:ind w:firstLine="720"/>
        <w:jc w:val="both"/>
      </w:pPr>
      <w:r>
        <w:rPr>
          <w:rFonts w:ascii="Times New Roman" w:cs="Times New Roman" w:eastAsia="Times New Roman" w:hAnsi="Times New Roman"/>
          <w:color w:val="000000"/>
          <w:sz w:val="24"/>
          <w:szCs w:val="24"/>
        </w:rPr>
        <w:t xml:space="preserve">La segunda contribución es metodológica: el diseño e implementación de un pipeline de extracción de features que procesa 873 secciones judiciales en 20 minutos de CPU, con CFH-BERT v2 (F1 macro=0.58), un corpus oral de 38.1 horas transcrito con Whisper y diarizado con pyannote-audio, y un módulo de Capa 3 multimodal que extrae Action Units faciales con MediaPipe FaceLandmarker sobre segmentos de compareciente diarizados. La apertura del código en GitHub garantiza la reproducibilidad y extensibilidad del sistema.</w:t>
      </w:r>
    </w:p>
    <w:p>
      <w:pPr>
        <w:spacing w:after="200" w:line="360" w:lineRule="auto"/>
        <w:ind w:firstLine="720"/>
        <w:jc w:val="both"/>
      </w:pPr>
      <w:r>
        <w:rPr>
          <w:rFonts w:ascii="Times New Roman" w:cs="Times New Roman" w:eastAsia="Times New Roman" w:hAnsi="Times New Roman"/>
          <w:color w:val="000000"/>
          <w:sz w:val="24"/>
          <w:szCs w:val="24"/>
        </w:rPr>
        <w:t>La tercera contribución es empírica: los primeros resultados cuantitativos sobre la brecha discursiva entre la justicia ordinaria colombiana y la justicia transicional JEP, y la primera caracterización multi-canal del discurso de reconocimiento en audiencias JEP. Los indicadores semánticos y de reconocimiento muestran diferencias sustantivas entre Corpus A y B (Tabla 5.5), con la distancia al lenguaje de las víctimas (y₈) como el efecto más grande. El hallazgo más importante del análisis de senderos es que la distancia semántica al lenguaje de las víctimas (y₈) predice la ruptura epistémica positiva (y₁₀→ β=−0.679 en Corpus C, β=−0.597 tri-corpus): la adopción del vocabulario y la estructura semántica de las víctimas, más que la reducción del encubrimiento, es el mecanismo central de la transformación discursiva de la JEP. El control temporal confirma que esta brecha semántica es estructural, no un artefacto del período histórico. El análisis integrado del Corpus C con seis indicadores y el ICM tri-canal revela que la disociación entre canales discursivos —no la congruencia— es el patrón estructural dominante en las audiencias de reconocimiento, lo que sugiere que el reconocimiento en contextos de justicia transicional es un fenómeno multidimensional que no puede reducirse a un único canal comunicativo. Esta tesis constituye además la primera operacionalización computacional multimodal de la injusticia epistémica en español jurídico colombiano, extendiendo el marco de Fricker (2007) al dominio multimodal mediante el Índice de Congruencia Multimodal tri-canal (verbal + vocal + facial), e identificando la incongruencia epistémica multimodal como fenómeno no categorizado por la teoría filosófica existente.</w:t>
      </w:r>
    </w:p>
    <w:p>
      <w:pPr>
        <w:spacing w:after="160" w:line="340"/>
        <w:jc w:val="both"/>
      </w:pPr>
      <w:r>
        <w:rPr>
          <w:sz w:val="22"/>
          <w:szCs w:val="22"/>
        </w:rPr>
        <w:t xml:space="preserve"> </w:t>
      </w:r>
    </w:p>
    <w:p>
      <w:pPr>
        <w:spacing w:after="200" w:line="360" w:lineRule="auto"/>
        <w:ind w:firstLine="720"/>
        <w:jc w:val="both"/>
      </w:pPr>
      <w:r>
        <w:rPr>
          <w:sz w:val="24"/>
          <w:szCs w:val="24"/>
        </w:rPr>
        <w:t xml:space="preserve"> </w:t>
      </w:r>
    </w:p>
    <w:p>
      <w:pPr>
        <w:spacing w:after="200" w:line="360" w:lineRule="auto"/>
        <w:ind w:firstLine="720"/>
        <w:jc w:val="both"/>
      </w:pPr>
      <w:r>
        <w:rPr>
          <w:rFonts w:ascii="Times New Roman" w:cs="Times New Roman" w:eastAsia="Times New Roman" w:hAnsi="Times New Roman"/>
          <w:color w:val="000000"/>
          <w:sz w:val="24"/>
          <w:szCs w:val="24"/>
        </w:rPr>
        <w:t xml:space="preserve">El veintidós de junio de dos mil ocho, Fair Leonardo Porras Bernal salió de Cazucá buscando trabajo. El archivo judicial colombiano lo registró primero como «guerrillero dado de baja» y luego, en cientos de sentencias del Consejo de Estado y resoluciones de la JEP, fue nombrándolo de nuevo. La Hermenéutica Forense Computacional es un intento de medir la distancia entre esas dos versiones de su historia en el archivo del Estado. Es, también, un acto de fe en que esa distancia puede acortarse.</w:t>
      </w:r>
    </w:p>
    <w:p>
      <w:pPr>
        <w:spacing w:after="120"/>
      </w:pPr>
      <w:r>
        <w:rPr>
          <w:rFonts w:ascii="Times New Roman" w:cs="Times New Roman" w:eastAsia="Times New Roman" w:hAnsi="Times New Roman"/>
          <w:color w:val="000000"/>
          <w:sz w:val="24"/>
          <w:szCs w:val="24"/>
        </w:rPr>
        <w:t xml:space="preserve"/>
      </w:r>
    </w:p>
    <w:p>
      <w:pPr>
        <w:spacing w:after="200" w:before="480"/>
      </w:pPr>
      <w:r>
        <w:rPr>
          <w:rFonts w:ascii="Times New Roman" w:cs="Times New Roman" w:eastAsia="Times New Roman" w:hAnsi="Times New Roman"/>
          <w:b/>
          <w:bCs/>
          <w:color w:val="000000"/>
          <w:sz w:val="22"/>
          <w:szCs w:val="22"/>
        </w:rPr>
        <w:t xml:space="preserve">Referencias del capítulo</w:t>
      </w:r>
    </w:p>
    <w:p>
      <w:pPr>
        <w:spacing w:after="120"/>
        <w:ind w:left="720" w:hanging="720"/>
        <w:jc w:val="both"/>
      </w:pPr>
      <w:r>
        <w:rPr>
          <w:rFonts w:ascii="Times New Roman" w:cs="Times New Roman" w:eastAsia="Times New Roman" w:hAnsi="Times New Roman"/>
          <w:color w:val="000000"/>
          <w:sz w:val="20"/>
          <w:szCs w:val="20"/>
        </w:rPr>
        <w:t xml:space="preserve">Barrett, L. F., Adolphs, R., Marsella, S., Martinez, A. M., y Pollak, S. D. (2019). Emotional Expressions Reconsidered: Challenges to Inferring Emotion From Human Facial Movements. Psychological Science in the Public Interest, 20(1), 1–68.
Buolamwini, J., y Gebru, T. (2018). Gender Shades: Intersectional Accuracy Disparities in Commercial Gender Classification. Proceedings of Machine Learning Research, 81, 1–15.
Crivelli, C., y Fridlund, A. J. (2018). Facial Displays Are Tools for Social Influence. Trends in Cognitive Sciences, 22(5), 388–399.
Reisenzein, R., Studtmann, M., y Horstmann, G. (2013). Coherence between Emotion and Facial Expression: Evidence from Laboratory Experiments. Emotion Review, 5(1), 16–23.
Camara, M. K., Postal, A., Maul, T. H., y Paetzold, G. H. (2024). Can lies be faked? Comparing low-stakes and high-stakes deception video datasets from a Machine Learning perspective. Expert Systems with Applications, 249, 123684. https://doi.org/10.1016/j.eswa.2024.123684
Baird, A. y Coutinho, E. (2019). Sincerity in Acted Speech: The Sincere Apology Corpus (SinA-C). INTERSPEECH 2019.</w:t>
      </w:r>
    </w:p>
    <w:p>
      <w:pPr>
        <w:spacing w:after="120"/>
        <w:ind w:left="720" w:hanging="720"/>
        <w:jc w:val="both"/>
      </w:pPr>
      <w:r>
        <w:rPr>
          <w:rFonts w:ascii="Times New Roman" w:cs="Times New Roman" w:eastAsia="Times New Roman" w:hAnsi="Times New Roman"/>
          <w:color w:val="000000"/>
          <w:sz w:val="20"/>
          <w:szCs w:val="20"/>
        </w:rPr>
        <w:t xml:space="preserve">Bhatia, V. K. (1993). Analysing Genre: Language Use in Professional Settings. Longman.</w:t>
      </w:r>
    </w:p>
    <w:p>
      <w:pPr>
        <w:spacing w:after="120"/>
        <w:ind w:left="720" w:hanging="720"/>
        <w:jc w:val="both"/>
      </w:pPr>
      <w:r>
        <w:rPr>
          <w:rFonts w:ascii="Times New Roman" w:cs="Times New Roman" w:eastAsia="Times New Roman" w:hAnsi="Times New Roman"/>
          <w:color w:val="000000"/>
          <w:sz w:val="20"/>
          <w:szCs w:val="20"/>
        </w:rPr>
        <w:t xml:space="preserve">Fraser, N. (1995). From redistribution to recognition? Dilemmas of justice in a 'post-socialist' age. New Left Review, 212, 68–93.</w:t>
      </w:r>
    </w:p>
    <w:p>
      <w:pPr>
        <w:spacing w:after="120"/>
        <w:ind w:left="720" w:hanging="720"/>
        <w:jc w:val="both"/>
      </w:pPr>
      <w:r>
        <w:rPr>
          <w:rFonts w:ascii="Times New Roman" w:cs="Times New Roman" w:eastAsia="Times New Roman" w:hAnsi="Times New Roman"/>
          <w:color w:val="000000"/>
          <w:sz w:val="20"/>
          <w:szCs w:val="20"/>
        </w:rPr>
        <w:t xml:space="preserve">Galtung, J. (1990). Cultural violence. Journal of Peace Research, 27(3), 291–305.</w:t>
      </w:r>
    </w:p>
    <w:p>
      <w:pPr>
        <w:spacing w:after="120"/>
        <w:ind w:left="720" w:hanging="720"/>
        <w:jc w:val="both"/>
      </w:pPr>
      <w:r>
        <w:rPr>
          <w:rFonts w:ascii="Times New Roman" w:cs="Times New Roman" w:eastAsia="Times New Roman" w:hAnsi="Times New Roman"/>
          <w:color w:val="000000"/>
          <w:sz w:val="20"/>
          <w:szCs w:val="20"/>
        </w:rPr>
        <w:t xml:space="preserve">Igolkina, A. A. y Meshcheryakov, G. (2020). semopy: A Python package for Structural Equation Models. arXiv:2003.05838.</w:t>
      </w:r>
    </w:p>
    <w:p>
      <w:pPr>
        <w:spacing w:after="120"/>
        <w:ind w:left="720" w:hanging="720"/>
        <w:jc w:val="both"/>
      </w:pPr>
      <w:r>
        <w:rPr>
          <w:rFonts w:ascii="Times New Roman" w:cs="Times New Roman" w:eastAsia="Times New Roman" w:hAnsi="Times New Roman"/>
          <w:color w:val="000000"/>
          <w:sz w:val="20"/>
          <w:szCs w:val="20"/>
        </w:rPr>
        <w:t xml:space="preserve">JEP — Jurisdicción Especial para la Paz. (2022). Resoluciones de Conclusiones No. 01 y 03 de 2022 — Caso 03. SRVR.</w:t>
      </w:r>
    </w:p>
    <w:p>
      <w:pPr>
        <w:spacing w:after="120"/>
        <w:ind w:left="720" w:hanging="720"/>
        <w:jc w:val="both"/>
      </w:pPr>
      <w:r>
        <w:rPr>
          <w:rFonts w:ascii="Times New Roman" w:cs="Times New Roman" w:eastAsia="Times New Roman" w:hAnsi="Times New Roman"/>
          <w:color w:val="000000"/>
          <w:sz w:val="20"/>
          <w:szCs w:val="20"/>
        </w:rPr>
        <w:t xml:space="preserve">Kline, R. B. (2023). Principles and Practice of Structural Equation Modeling (5.ª ed.). Guilford Press.</w:t>
      </w:r>
    </w:p>
    <w:p>
      <w:pPr>
        <w:spacing w:after="120"/>
        <w:ind w:left="720" w:hanging="720"/>
        <w:jc w:val="both"/>
      </w:pPr>
      <w:r>
        <w:rPr>
          <w:rFonts w:ascii="Times New Roman" w:cs="Times New Roman" w:eastAsia="Times New Roman" w:hAnsi="Times New Roman"/>
          <w:color w:val="000000"/>
          <w:sz w:val="20"/>
          <w:szCs w:val="20"/>
        </w:rPr>
        <w:t xml:space="preserve">Noble, S. U. (2018). Algorithms of Oppression. New York University Press.</w:t>
      </w:r>
    </w:p>
    <w:p>
      <w:pPr>
        <w:spacing w:after="120"/>
        <w:ind w:left="720" w:hanging="720"/>
        <w:jc w:val="both"/>
      </w:pPr>
      <w:r>
        <w:rPr>
          <w:rFonts w:ascii="Times New Roman" w:cs="Times New Roman" w:eastAsia="Times New Roman" w:hAnsi="Times New Roman"/>
          <w:color w:val="000000"/>
          <w:sz w:val="20"/>
          <w:szCs w:val="20"/>
        </w:rPr>
        <w:t xml:space="preserve">Scientific Reports. (2024). The nonverbal expression of guilt in healthy adults. Nature, vol. 14, art. 10607.</w:t>
      </w:r>
    </w:p>
    <w:p>
      <w:pPr>
        <w:spacing w:after="120"/>
        <w:ind w:left="720" w:hanging="720"/>
        <w:jc w:val="both"/>
      </w:pPr>
      <w:r>
        <w:rPr>
          <w:rFonts w:ascii="Times New Roman" w:cs="Times New Roman" w:eastAsia="Times New Roman" w:hAnsi="Times New Roman"/>
          <w:color w:val="000000"/>
          <w:sz w:val="20"/>
          <w:szCs w:val="20"/>
        </w:rPr>
        <w:t xml:space="preserve">Swales, J. M. (1990). Genre Analysis: English in Academic and Research Settings. Cambridge University Press.</w:t>
      </w:r>
    </w:p>
    <w:p>
      <w:pPr>
        <w:spacing w:after="120"/>
        <w:ind w:left="720" w:hanging="720"/>
        <w:jc w:val="both"/>
      </w:pPr>
      <w:r>
        <w:rPr>
          <w:rFonts w:ascii="Times New Roman" w:cs="Times New Roman" w:eastAsia="Times New Roman" w:hAnsi="Times New Roman"/>
          <w:color w:val="000000"/>
          <w:sz w:val="20"/>
          <w:szCs w:val="20"/>
        </w:rPr>
        <w:t xml:space="preserve">van Dijk, T. A. (2008). Discourse and Power. Palgrave Macmillan.</w:t>
      </w:r>
    </w:p>
    <w:p>
      <w:pPr>
        <w:spacing w:after="120"/>
        <w:ind w:left="720" w:hanging="720"/>
        <w:jc w:val="both"/>
      </w:pPr>
      <w:r>
        <w:rPr>
          <w:rFonts w:ascii="Times New Roman" w:cs="Times New Roman" w:eastAsia="Times New Roman" w:hAnsi="Times New Roman"/>
          <w:color w:val="000000"/>
          <w:sz w:val="20"/>
          <w:szCs w:val="20"/>
        </w:rPr>
        <w:t xml:space="preserve">Yang, W., Alsarra, S., Abdeljaber, L., Zawad, N., Delaram, Z., Osorio, J., Khan, L., Brandt, P., y D'Orazio, V. (2023). ConfliBERT-Spanish: A Pre-trained Spanish Language Model for Political Conflict and Violence. IEEE CiSt 2023.</w:t>
      </w:r>
    </w:p>
    <w:p>
      <w:pPr>
        <w:spacing w:after="120"/>
        <w:ind w:left="720" w:hanging="720"/>
        <w:jc w:val="both"/>
      </w:pPr>
      <w:r>
        <w:rPr>
          <w:rFonts w:ascii="Times New Roman" w:cs="Times New Roman" w:eastAsia="Times New Roman" w:hAnsi="Times New Roman"/>
          <w:color w:val="000000"/>
          <w:sz w:val="20"/>
          <w:szCs w:val="20"/>
        </w:rPr>
        <w:t xml:space="preserve">Zehr, H. (2002). The Little Book of Restorative Justice. Good Books.</w:t>
      </w:r>
    </w:p>
    <w:p>
      <w:r>
        <w:br w:type="page"/>
      </w:r>
    </w:p>
    <w:p>
      <w:pPr>
        <w:spacing w:after="120" w:before="1200"/>
        <w:jc w:val="center"/>
      </w:pPr>
      <w:r>
        <w:rPr>
          <w:rFonts w:ascii="Times New Roman" w:cs="Times New Roman" w:eastAsia="Times New Roman" w:hAnsi="Times New Roman"/>
          <w:b/>
          <w:bCs/>
          <w:sz w:val="26"/>
          <w:szCs w:val="26"/>
        </w:rPr>
        <w:t xml:space="preserve">UNIVERSIDAD EXTERNADO DE COLOMBIA</w:t>
      </w:r>
    </w:p>
    <w:p>
      <w:pPr>
        <w:spacing w:after="600"/>
        <w:jc w:val="center"/>
      </w:pPr>
      <w:r>
        <w:rPr>
          <w:rFonts w:ascii="Times New Roman" w:cs="Times New Roman" w:eastAsia="Times New Roman" w:hAnsi="Times New Roman"/>
          <w:sz w:val="22"/>
          <w:szCs w:val="22"/>
        </w:rPr>
        <w:t xml:space="preserve">Facultad de Ingeniería · Programa de Ciencia de Datos</w:t>
      </w:r>
    </w:p>
    <w:p>
      <w:pPr>
        <w:spacing w:after="120" w:before="600"/>
        <w:jc w:val="center"/>
      </w:pPr>
      <w:r>
        <w:rPr>
          <w:rFonts w:ascii="Times New Roman" w:cs="Times New Roman" w:eastAsia="Times New Roman" w:hAnsi="Times New Roman"/>
          <w:b/>
          <w:bCs/>
          <w:sz w:val="32"/>
          <w:szCs w:val="32"/>
        </w:rPr>
        <w:t xml:space="preserve">APÉNDICE A</w:t>
      </w:r>
    </w:p>
    <w:p>
      <w:pPr>
        <w:spacing w:after="120"/>
        <w:jc w:val="center"/>
      </w:pPr>
      <w:r>
        <w:rPr>
          <w:rFonts w:ascii="Times New Roman" w:cs="Times New Roman" w:eastAsia="Times New Roman" w:hAnsi="Times New Roman"/>
          <w:b/>
          <w:bCs/>
          <w:sz w:val="26"/>
          <w:szCs w:val="26"/>
        </w:rPr>
        <w:t xml:space="preserve">Desarrollo matemático y protocolo experimental del framework CFH</w:t>
      </w:r>
    </w:p>
    <w:p>
      <w:pPr>
        <w:spacing w:after="600"/>
        <w:jc w:val="center"/>
      </w:pPr>
      <w:r>
        <w:rPr>
          <w:rFonts w:ascii="Times New Roman" w:cs="Times New Roman" w:eastAsia="Times New Roman" w:hAnsi="Times New Roman"/>
          <w:i/>
          <w:iCs/>
          <w:sz w:val="22"/>
          <w:szCs w:val="22"/>
        </w:rPr>
        <w:t xml:space="preserve">Hermenéutica Forense Computacional</w:t>
      </w:r>
    </w:p>
    <w:p>
      <w:pPr>
        <w:spacing w:after="120" w:before="800"/>
        <w:jc w:val="center"/>
      </w:pPr>
      <w:r>
        <w:rPr>
          <w:rFonts w:ascii="Times New Roman" w:cs="Times New Roman" w:eastAsia="Times New Roman" w:hAnsi="Times New Roman"/>
          <w:b/>
          <w:bCs/>
          <w:sz w:val="22"/>
          <w:szCs w:val="22"/>
        </w:rPr>
        <w:t xml:space="preserve">Mireya Camacho Celis</w:t>
      </w:r>
    </w:p>
    <w:p>
      <w:pPr>
        <w:spacing w:after="600"/>
        <w:jc w:val="center"/>
      </w:pPr>
      <w:r>
        <w:rPr>
          <w:rFonts w:ascii="Times New Roman" w:cs="Times New Roman" w:eastAsia="Times New Roman" w:hAnsi="Times New Roman"/>
          <w:sz w:val="22"/>
          <w:szCs w:val="22"/>
        </w:rPr>
        <w:t xml:space="preserve">Director: Julián Zuluaga · Bogotá D.C., 2026</w:t>
      </w:r>
    </w:p>
    <w:p>
      <w:r>
        <w:br w:type="page"/>
      </w:r>
    </w:p>
    <w:p>
      <w:pPr>
        <w:pStyle w:val="Heading1"/>
        <w:spacing w:after="160" w:before="280"/>
      </w:pPr>
      <w:r>
        <w:rPr>
          <w:rFonts w:ascii="Times New Roman" w:cs="Times New Roman" w:eastAsia="Times New Roman" w:hAnsi="Times New Roman"/>
          <w:b/>
          <w:bCs/>
          <w:sz w:val="30"/>
          <w:szCs w:val="30"/>
        </w:rPr>
        <w:t xml:space="preserve">Nota preliminar</w:t>
      </w:r>
    </w:p>
    <w:p>
      <w:pPr>
        <w:spacing w:after="160" w:line="360" w:lineRule="auto"/>
        <w:jc w:val="both"/>
      </w:pPr>
      <w:r>
        <w:rPr>
          <w:rFonts w:ascii="Times New Roman" w:cs="Times New Roman" w:eastAsia="Times New Roman" w:hAnsi="Times New Roman"/>
          <w:sz w:val="22"/>
          <w:szCs w:val="22"/>
        </w:rPr>
        <w:t>Este apéndice formaliza los fundamentos matemáticos del framework de Hermenéutica Forense Computacional (CFH) y documenta el protocolo experimental que produce los resultados reportados en los capítulos 5 y 6. Cada sección presenta las ecuaciones del indicador o procedimiento, su implementación computacional y los valores verificados sobre el corpus definitivo. Todos los resultados numéricos provienen de la ejecución reproducible de los scripts del repositorio sobre los corpus canónicos: Corpus A (justicia ordinaria, N_A=819 secciones), Corpus B (autos escritos JEP del Macrocaso 003, N_B=80 secciones) y Corpus C (audiencias orales, 588 bloques de aproximadamente 2.000 caracteres). El tamaño N_B=80 corresponde al universo de documentos JEP del Macrocaso 003 disponibles públicamente al cierre del corpus.</w:t>
      </w:r>
    </w:p>
    <w:p>
      <w:pPr>
        <w:pStyle w:val="Heading2"/>
        <w:spacing w:after="120" w:before="220"/>
      </w:pPr>
      <w:r>
        <w:rPr>
          <w:rFonts w:ascii="Times New Roman" w:cs="Times New Roman" w:eastAsia="Times New Roman" w:hAnsi="Times New Roman"/>
          <w:b/>
          <w:bCs/>
          <w:sz w:val="26"/>
          <w:szCs w:val="26"/>
        </w:rPr>
        <w:t xml:space="preserve">A.0 Convención de normalización</w:t>
      </w:r>
    </w:p>
    <w:p>
      <w:pPr>
        <w:spacing w:after="160" w:line="360" w:lineRule="auto"/>
        <w:jc w:val="both"/>
      </w:pPr>
      <w:r>
        <w:rPr>
          <w:rFonts w:ascii="Times New Roman" w:cs="Times New Roman" w:eastAsia="Times New Roman" w:hAnsi="Times New Roman"/>
          <w:sz w:val="22"/>
          <w:szCs w:val="22"/>
        </w:rPr>
        <w:t xml:space="preserve">El framework emplea tres niveles de normalización, cada uno justificado por la naturaleza de los datos que procesa. Esta convención es transversal a todo el apéndice y se declara aquí una sola vez para garantizar coherencia.</w:t>
      </w:r>
    </w:p>
    <w:p>
      <w:pPr>
        <w:spacing w:after="160" w:line="360" w:lineRule="auto"/>
        <w:jc w:val="both"/>
      </w:pPr>
      <w:r>
        <w:rPr>
          <w:rFonts w:ascii="Times New Roman" w:cs="Times New Roman" w:eastAsia="Times New Roman" w:hAnsi="Times New Roman"/>
          <w:b/>
          <w:bCs/>
          <w:sz w:val="22"/>
          <w:szCs w:val="22"/>
        </w:rPr>
        <w:t xml:space="preserve">Nivel 1 — Indicadores léxico-semánticos (y₂, y₄, y₈, y₉, y₁₀). </w:t>
      </w:r>
      <w:r>
        <w:rPr>
          <w:rFonts w:ascii="Times New Roman" w:cs="Times New Roman" w:eastAsia="Times New Roman" w:hAnsi="Times New Roman"/>
          <w:sz w:val="22"/>
          <w:szCs w:val="22"/>
        </w:rPr>
        <w:t xml:space="preserve">Cada indicador se normaliza mediante z-score seguido de función sigmoide, calculado sobre la distribución conjunta de los tres corpus (A+B+C, n=1.461):</w:t>
      </w:r>
    </w:p>
    <w:p>
      <w:pPr>
        <w:spacing w:after="120" w:before="80"/>
        <w:jc w:val="center"/>
      </w:pPr>
      <w:r>
        <w:rPr>
          <w:rFonts w:ascii="Cambria Math" w:cs="Cambria Math" w:eastAsia="Cambria Math" w:hAnsi="Cambria Math"/>
          <w:i/>
          <w:iCs/>
          <w:sz w:val="24"/>
          <w:szCs w:val="24"/>
        </w:rPr>
        <w:t xml:space="preserve">ŷ = σ((y − μ) / s),   σ(z) = 1 / (1 + e^(−z))</w:t>
      </w:r>
    </w:p>
    <w:p>
      <w:pPr>
        <w:spacing w:after="160" w:line="360" w:lineRule="auto"/>
        <w:jc w:val="both"/>
      </w:pPr>
      <w:r>
        <w:rPr>
          <w:rFonts w:ascii="Times New Roman" w:cs="Times New Roman" w:eastAsia="Times New Roman" w:hAnsi="Times New Roman"/>
          <w:sz w:val="22"/>
          <w:szCs w:val="22"/>
        </w:rPr>
        <w:t xml:space="preserve">Este esquema mapea cada indicador al intervalo abierto (0,1) sin producir los valores 0,000 o 1,000 absolutos que genera la normalización min-max sobre muestras pequeñas. La media μ y la desviación s se calculan una sola vez sobre la distribución conjunta y se congelan como constantes de calibración.</w:t>
      </w:r>
    </w:p>
    <w:p>
      <w:pPr>
        <w:spacing w:after="160" w:line="360" w:lineRule="auto"/>
        <w:jc w:val="both"/>
      </w:pPr>
      <w:r>
        <w:rPr>
          <w:rFonts w:ascii="Times New Roman" w:cs="Times New Roman" w:eastAsia="Times New Roman" w:hAnsi="Times New Roman"/>
          <w:b/>
          <w:bCs/>
          <w:sz w:val="22"/>
          <w:szCs w:val="22"/>
        </w:rPr>
        <w:t xml:space="preserve">Nivel 2 — Índices compuestos (DIS, IEI). </w:t>
      </w:r>
      <w:r>
        <w:rPr>
          <w:rFonts w:ascii="Times New Roman" w:cs="Times New Roman" w:eastAsia="Times New Roman" w:hAnsi="Times New Roman"/>
          <w:sz w:val="22"/>
          <w:szCs w:val="22"/>
        </w:rPr>
        <w:t xml:space="preserve">Cada índice es una combinación lineal ponderada de indicadores ya normalizados en el Nivel 1. Como los pesos suman la unidad, el índice permanece en (0,1) sin requerir una segunda normalización. No se aplica min-max ni ninguna transformación adicional sobre el índice agregado.</w:t>
      </w:r>
    </w:p>
    <w:p>
      <w:pPr>
        <w:spacing w:after="160" w:line="360" w:lineRule="auto"/>
        <w:jc w:val="both"/>
      </w:pPr>
      <w:r>
        <w:rPr>
          <w:rFonts w:ascii="Times New Roman" w:cs="Times New Roman" w:eastAsia="Times New Roman" w:hAnsi="Times New Roman"/>
          <w:b/>
          <w:bCs/>
          <w:sz w:val="22"/>
          <w:szCs w:val="22"/>
        </w:rPr>
        <w:t xml:space="preserve">Nivel 3 — Índice multimodal (ICM). </w:t>
      </w:r>
      <w:r>
        <w:rPr>
          <w:rFonts w:ascii="Times New Roman" w:cs="Times New Roman" w:eastAsia="Times New Roman" w:hAnsi="Times New Roman"/>
          <w:sz w:val="22"/>
          <w:szCs w:val="22"/>
        </w:rPr>
        <w:t xml:space="preserve">Cada canal se normaliza según su naturaleza: el facial por z-score comparativo sobre el corpus; el vocal por escala fija anclada en valores de referencia de la literatura; y el verbal como proporción del discurso reparador. Este tratamiento diferenciado se justifica porque las señales faciales, acústicas y léxicas operan en escalas heterogéneas no comparables.</w:t>
      </w:r>
    </w:p>
    <w:p>
      <w:r>
        <w:br w:type="page"/>
      </w:r>
    </w:p>
    <w:p>
      <w:pPr>
        <w:pStyle w:val="Heading1"/>
        <w:spacing w:after="160" w:before="280"/>
      </w:pPr>
      <w:r>
        <w:rPr>
          <w:rFonts w:ascii="Times New Roman" w:cs="Times New Roman" w:eastAsia="Times New Roman" w:hAnsi="Times New Roman"/>
          <w:b/>
          <w:bCs/>
          <w:sz w:val="30"/>
          <w:szCs w:val="30"/>
        </w:rPr>
        <w:t xml:space="preserve">A.1 CFH-BERT v2: clasificador de secuencias con pérdida ponderada</w:t>
      </w:r>
    </w:p>
    <w:p>
      <w:pPr>
        <w:spacing w:after="160" w:line="360" w:lineRule="auto"/>
        <w:jc w:val="both"/>
      </w:pPr>
      <w:r>
        <w:rPr>
          <w:rFonts w:ascii="Times New Roman" w:cs="Times New Roman" w:eastAsia="Times New Roman" w:hAnsi="Times New Roman"/>
          <w:sz w:val="22"/>
          <w:szCs w:val="22"/>
        </w:rPr>
        <w:t xml:space="preserve">CFH-BERT v2 es un clasificador de etiquetado de secuencias construido sobre ConfliBERT-Spanish-BETO-Cased-v1 (Yang et al., 2023). Detecta tres mecanismos de violencia discursiva (EBI, SA, NV) y la Ruptura Epistémica Positiva (REP) sobre el texto judicial.</w:t>
      </w:r>
    </w:p>
    <w:p>
      <w:pPr>
        <w:pStyle w:val="Heading2"/>
        <w:spacing w:after="120" w:before="220"/>
      </w:pPr>
      <w:r>
        <w:rPr>
          <w:rFonts w:ascii="Times New Roman" w:cs="Times New Roman" w:eastAsia="Times New Roman" w:hAnsi="Times New Roman"/>
          <w:b/>
          <w:bCs/>
          <w:sz w:val="26"/>
          <w:szCs w:val="26"/>
        </w:rPr>
        <w:t xml:space="preserve">A.1.1 Arquitectura</w:t>
      </w:r>
    </w:p>
    <w:p>
      <w:pPr>
        <w:spacing w:after="160" w:line="360" w:lineRule="auto"/>
        <w:jc w:val="both"/>
      </w:pPr>
      <w:r>
        <w:rPr>
          <w:rFonts w:ascii="Times New Roman" w:cs="Times New Roman" w:eastAsia="Times New Roman" w:hAnsi="Times New Roman"/>
          <w:sz w:val="22"/>
          <w:szCs w:val="22"/>
        </w:rPr>
        <w:t xml:space="preserve">El modelo base es un Transformer de 12 capas con dimensión oculta H=768 y A=12 cabezas de atención. La atención multi-cabeza para cada cabeza se calcula como:</w:t>
      </w:r>
    </w:p>
    <w:p>
      <w:pPr>
        <w:spacing w:after="120" w:before="80"/>
        <w:jc w:val="center"/>
      </w:pPr>
      <w:r>
        <w:rPr>
          <w:rFonts w:ascii="Cambria Math" w:cs="Cambria Math" w:eastAsia="Cambria Math" w:hAnsi="Cambria Math"/>
          <w:i/>
          <w:iCs/>
          <w:sz w:val="24"/>
          <w:szCs w:val="24"/>
        </w:rPr>
        <w:t xml:space="preserve">Attention(Q,K,V) = softmax(QKᵀ / √d_k) · V,   d_k = H/A = 64</w:t>
      </w:r>
    </w:p>
    <w:p>
      <w:pPr>
        <w:spacing w:after="160" w:line="360" w:lineRule="auto"/>
        <w:jc w:val="both"/>
      </w:pPr>
      <w:r>
        <w:rPr>
          <w:rFonts w:ascii="Times New Roman" w:cs="Times New Roman" w:eastAsia="Times New Roman" w:hAnsi="Times New Roman"/>
          <w:sz w:val="22"/>
          <w:szCs w:val="22"/>
        </w:rPr>
        <w:t xml:space="preserve">Cada capa aplica normalización por capas (LayerNorm) y conexiones residuales. Sobre la representación contextual de cada token se aplica una capa lineal de clasificación seguida de softmax.</w:t>
      </w:r>
    </w:p>
    <w:p>
      <w:pPr>
        <w:pStyle w:val="Heading2"/>
        <w:spacing w:after="120" w:before="220"/>
      </w:pPr>
      <w:r>
        <w:rPr>
          <w:rFonts w:ascii="Times New Roman" w:cs="Times New Roman" w:eastAsia="Times New Roman" w:hAnsi="Times New Roman"/>
          <w:b/>
          <w:bCs/>
          <w:sz w:val="26"/>
          <w:szCs w:val="26"/>
        </w:rPr>
        <w:t xml:space="preserve">A.1.2 Esquema de etiquetado IO frente a BIO</w:t>
      </w:r>
    </w:p>
    <w:p>
      <w:pPr>
        <w:spacing w:after="160" w:line="360" w:lineRule="auto"/>
        <w:jc w:val="both"/>
      </w:pPr>
      <w:r>
        <w:rPr>
          <w:rFonts w:ascii="Times New Roman" w:cs="Times New Roman" w:eastAsia="Times New Roman" w:hAnsi="Times New Roman"/>
          <w:sz w:val="22"/>
          <w:szCs w:val="22"/>
        </w:rPr>
        <w:t xml:space="preserve">La versión v1 usaba el esquema BIO (Begin-Inside-Outside) con 9 clases, lo que fragmentaba las clases minoritarias en pares B-/I- y agravaba el desbalance. La versión v2 adopta el esquema IO (Inside-Outside) con 5 clases, colapsando cada par B-/I- en una sola etiqueta. Esto reduce la dispersión de probabilidad y mejora el aprendizaje de clases escasas.</w:t>
      </w:r>
    </w:p>
    <w:p>
      <w:pPr>
        <w:pStyle w:val="Heading2"/>
        <w:spacing w:after="120" w:before="220"/>
      </w:pPr>
      <w:r>
        <w:rPr>
          <w:rFonts w:ascii="Times New Roman" w:cs="Times New Roman" w:eastAsia="Times New Roman" w:hAnsi="Times New Roman"/>
          <w:b/>
          <w:bCs/>
          <w:sz w:val="26"/>
          <w:szCs w:val="26"/>
        </w:rPr>
        <w:t xml:space="preserve">A.1.3 Función de pérdida: Weighted Cross-Entropy</w:t>
      </w:r>
    </w:p>
    <w:p>
      <w:pPr>
        <w:spacing w:after="160" w:line="360" w:lineRule="auto"/>
        <w:jc w:val="both"/>
      </w:pPr>
      <w:r>
        <w:rPr>
          <w:rFonts w:ascii="Times New Roman" w:cs="Times New Roman" w:eastAsia="Times New Roman" w:hAnsi="Times New Roman"/>
          <w:sz w:val="22"/>
          <w:szCs w:val="22"/>
        </w:rPr>
        <w:t xml:space="preserve">El desbalance extremo de clases (la clase O domina, NV es muy escasa) se compensa mediante una pérdida de entropía cruzada ponderada. El peso de cada clase c es inversamente proporcional a su frecuencia:</w:t>
      </w:r>
    </w:p>
    <w:p>
      <w:pPr>
        <w:spacing w:after="120" w:before="80"/>
        <w:jc w:val="center"/>
      </w:pPr>
      <w:r>
        <w:rPr>
          <w:rFonts w:ascii="Cambria Math" w:cs="Cambria Math" w:eastAsia="Cambria Math" w:hAnsi="Cambria Math"/>
          <w:i/>
          <w:iCs/>
          <w:sz w:val="24"/>
          <w:szCs w:val="24"/>
        </w:rPr>
        <w:t xml:space="preserve">w_c = N_total / (C · N_c)</w:t>
      </w:r>
    </w:p>
    <w:p>
      <w:pPr>
        <w:spacing w:after="160" w:line="360" w:lineRule="auto"/>
        <w:jc w:val="both"/>
      </w:pPr>
      <w:r>
        <w:rPr>
          <w:rFonts w:ascii="Times New Roman" w:cs="Times New Roman" w:eastAsia="Times New Roman" w:hAnsi="Times New Roman"/>
          <w:sz w:val="22"/>
          <w:szCs w:val="22"/>
        </w:rPr>
        <w:t xml:space="preserve">donde N_total es el número total de tokens, C el número de clases y N_c el número de tokens de la clase c. La pérdida sobre el conjunto de entrenamiento es:</w:t>
      </w:r>
    </w:p>
    <w:p>
      <w:pPr>
        <w:spacing w:after="120" w:before="80"/>
        <w:jc w:val="center"/>
      </w:pPr>
      <w:r>
        <w:rPr>
          <w:rFonts w:ascii="Cambria Math" w:cs="Cambria Math" w:eastAsia="Cambria Math" w:hAnsi="Cambria Math"/>
          <w:i/>
          <w:iCs/>
          <w:sz w:val="24"/>
          <w:szCs w:val="24"/>
        </w:rPr>
        <w:t xml:space="preserve">L = −(1/N) Σ_i  w_{y_i} · log P(y_i | x_i)</w:t>
      </w:r>
    </w:p>
    <w:p>
      <w:pPr>
        <w:spacing w:after="160" w:line="360" w:lineRule="auto"/>
        <w:jc w:val="both"/>
      </w:pPr>
      <w:r>
        <w:rPr>
          <w:rFonts w:ascii="Times New Roman" w:cs="Times New Roman" w:eastAsia="Times New Roman" w:hAnsi="Times New Roman"/>
          <w:sz w:val="22"/>
          <w:szCs w:val="22"/>
        </w:rPr>
        <w:t xml:space="preserve">Con este esquema, la clase NV recibe un peso aproximadamente 19 veces mayor que la clase mayoritaria, lo que explica la mejora más notable del modelo.</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000"/>
      </w:tblGrid>
      <w:tr>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8"/>
                <w:szCs w:val="18"/>
              </w:rPr>
              <w:t xml:space="preserve">Clase</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Frecuencia relativa</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Peso w_c (aprox.)</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O (Outside)</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mayoritaria</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1×</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EBI</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baja</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~6×</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SA</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media</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~4×</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NV</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muy baja</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~19×</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REP</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media-baja</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~5×</w:t>
            </w:r>
          </w:p>
        </w:tc>
      </w:tr>
    </w:tbl>
    <w:p>
      <w:pPr>
        <w:spacing w:after="200" w:line="320"/>
        <w:jc w:val="both"/>
      </w:pPr>
      <w:r>
        <w:rPr>
          <w:rFonts w:ascii="Times New Roman" w:cs="Times New Roman" w:eastAsia="Times New Roman" w:hAnsi="Times New Roman"/>
          <w:i/>
          <w:iCs/>
          <w:sz w:val="18"/>
          <w:szCs w:val="18"/>
        </w:rPr>
        <w:t xml:space="preserve">Tabla A.1. Pesos por clase de la Weighted Cross-Entropy. La clase NV, la más escasa, recibe el mayor peso.</w:t>
      </w:r>
    </w:p>
    <w:p>
      <w:pPr>
        <w:pStyle w:val="Heading2"/>
        <w:spacing w:after="120" w:before="220"/>
      </w:pPr>
      <w:r>
        <w:rPr>
          <w:rFonts w:ascii="Times New Roman" w:cs="Times New Roman" w:eastAsia="Times New Roman" w:hAnsi="Times New Roman"/>
          <w:b/>
          <w:bCs/>
          <w:sz w:val="26"/>
          <w:szCs w:val="26"/>
        </w:rPr>
        <w:t xml:space="preserve">A.1.4 Resultados: v1 frente a v2</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1640"/>
        <w:gridCol w:w="1240"/>
        <w:gridCol w:w="1240"/>
        <w:gridCol w:w="1240"/>
        <w:gridCol w:w="1240"/>
      </w:tblGrid>
      <w:tr>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8"/>
                <w:szCs w:val="18"/>
              </w:rPr>
              <w:t xml:space="preserve">Versión</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F1 macro</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F1 REP</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F1 EBI</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F1 SA</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F1 NV</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v1 (BIO, 9 clases)</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0.27</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0.71</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0.47</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0.48</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0.04</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8"/>
                <w:szCs w:val="18"/>
              </w:rPr>
              <w:t xml:space="preserve">v2 (IO, 5 clases)</w:t>
            </w:r>
          </w:p>
        </w:tc>
        <w:tc>
          <w:tcPr>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0.58</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0.77</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0.52</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0.52</w:t>
            </w:r>
          </w:p>
        </w:tc>
        <w:tc>
          <w:tcPr>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0.32</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Δ (v2−v1)</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+0.31</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+0.06</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+0.05</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+0.04</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+0.28</w:t>
            </w:r>
          </w:p>
        </w:tc>
      </w:tr>
    </w:tbl>
    <w:p>
      <w:pPr>
        <w:spacing w:after="200" w:line="320"/>
        <w:jc w:val="both"/>
      </w:pPr>
      <w:r>
        <w:rPr>
          <w:rFonts w:ascii="Times New Roman" w:cs="Times New Roman" w:eastAsia="Times New Roman" w:hAnsi="Times New Roman"/>
          <w:i/>
          <w:iCs/>
          <w:sz w:val="18"/>
          <w:szCs w:val="18"/>
        </w:rPr>
        <w:t xml:space="preserve">Tabla A.2. CFH-BERT v1 frente a v2 sobre 100 anotaciones. La mejora más grande es en NV (+0.28), atribuible al weighted loss.</w:t>
      </w:r>
    </w:p>
    <w:p>
      <w:r>
        <w:br w:type="page"/>
      </w:r>
    </w:p>
    <w:p>
      <w:pPr>
        <w:pStyle w:val="Heading1"/>
        <w:spacing w:after="160" w:before="280"/>
      </w:pPr>
      <w:r>
        <w:rPr>
          <w:rFonts w:ascii="Times New Roman" w:cs="Times New Roman" w:eastAsia="Times New Roman" w:hAnsi="Times New Roman"/>
          <w:b/>
          <w:bCs/>
          <w:sz w:val="30"/>
          <w:szCs w:val="30"/>
        </w:rPr>
        <w:t xml:space="preserve">A.2 ConfliBERT-Spanish: embeddings y distancias semánticas (y₈, y₉)</w:t>
      </w:r>
    </w:p>
    <w:p>
      <w:pPr>
        <w:spacing w:after="160" w:line="360" w:lineRule="auto"/>
        <w:jc w:val="both"/>
      </w:pPr>
      <w:r>
        <w:rPr>
          <w:rFonts w:ascii="Times New Roman" w:cs="Times New Roman" w:eastAsia="Times New Roman" w:hAnsi="Times New Roman"/>
          <w:sz w:val="22"/>
          <w:szCs w:val="22"/>
        </w:rPr>
        <w:t xml:space="preserve">Los indicadores semánticos y₈ (distancia al léxico de las víctimas, centroide MAFAPO) y y₉ (distancia a estándares de derechos humanos, centroide CIDH) miden la cercanía de cada segmento judicial a dos polos de referencia normativa, en el espacio de embeddings de ConfliBERT-Spanish.</w:t>
      </w:r>
    </w:p>
    <w:p>
      <w:pPr>
        <w:pStyle w:val="Heading2"/>
        <w:spacing w:after="120" w:before="220"/>
      </w:pPr>
      <w:r>
        <w:rPr>
          <w:rFonts w:ascii="Times New Roman" w:cs="Times New Roman" w:eastAsia="Times New Roman" w:hAnsi="Times New Roman"/>
          <w:b/>
          <w:bCs/>
          <w:sz w:val="26"/>
          <w:szCs w:val="26"/>
        </w:rPr>
        <w:t xml:space="preserve">A.2.1 Extracción del embedding</w:t>
      </w:r>
    </w:p>
    <w:p>
      <w:pPr>
        <w:spacing w:after="160" w:line="360" w:lineRule="auto"/>
        <w:jc w:val="both"/>
      </w:pPr>
      <w:r>
        <w:rPr>
          <w:rFonts w:ascii="Times New Roman" w:cs="Times New Roman" w:eastAsia="Times New Roman" w:hAnsi="Times New Roman"/>
          <w:sz w:val="22"/>
          <w:szCs w:val="22"/>
        </w:rPr>
        <w:t xml:space="preserve">Para cada bloque de texto se obtiene el embedding del token [CLS] de la última capa oculta del modelo, un vector de dimensión 768. Para bloques que exceden la longitud máxima del modelo (512 tokens) se aplica una ventana deslizante y se promedian los embeddings resultantes.</w:t>
      </w:r>
    </w:p>
    <w:p>
      <w:pPr>
        <w:spacing w:after="120" w:before="80"/>
        <w:jc w:val="center"/>
      </w:pPr>
      <w:r>
        <w:rPr>
          <w:rFonts w:ascii="Cambria Math" w:cs="Cambria Math" w:eastAsia="Cambria Math" w:hAnsi="Cambria Math"/>
          <w:i/>
          <w:iCs/>
          <w:sz w:val="24"/>
          <w:szCs w:val="24"/>
        </w:rPr>
        <w:t xml:space="preserve">e(t) = ConfliBERT(t)[CLS] ∈ ℝ⁷⁶⁸</w:t>
      </w:r>
    </w:p>
    <w:p>
      <w:pPr>
        <w:pStyle w:val="Heading2"/>
        <w:spacing w:after="120" w:before="220"/>
      </w:pPr>
      <w:r>
        <w:rPr>
          <w:rFonts w:ascii="Times New Roman" w:cs="Times New Roman" w:eastAsia="Times New Roman" w:hAnsi="Times New Roman"/>
          <w:b/>
          <w:bCs/>
          <w:sz w:val="26"/>
          <w:szCs w:val="26"/>
        </w:rPr>
        <w:t xml:space="preserve">A.2.2 Construcción de los centroides</w:t>
      </w:r>
    </w:p>
    <w:p>
      <w:pPr>
        <w:spacing w:after="160" w:line="360" w:lineRule="auto"/>
        <w:jc w:val="both"/>
      </w:pPr>
      <w:r>
        <w:rPr>
          <w:rFonts w:ascii="Times New Roman" w:cs="Times New Roman" w:eastAsia="Times New Roman" w:hAnsi="Times New Roman"/>
          <w:sz w:val="22"/>
          <w:szCs w:val="22"/>
        </w:rPr>
        <w:t xml:space="preserve">Cada centroide de referencia es el promedio de los embeddings de su corpus de referencia. El centroide MAFAPO v5 se construyó a partir de 293 textos de comunicados, declaraciones ante la JEP e informes de las Madres de Falsos Positivos; el centroide CIDH a partir de fragmentos de la sentencia Villamizar Durán y otros vs. Colombia (Corte IDH, 2018) y comunicados de la CIDH.</w:t>
      </w:r>
    </w:p>
    <w:p>
      <w:pPr>
        <w:spacing w:after="120" w:before="80"/>
        <w:jc w:val="center"/>
      </w:pPr>
      <w:r>
        <w:rPr>
          <w:rFonts w:ascii="Cambria Math" w:cs="Cambria Math" w:eastAsia="Cambria Math" w:hAnsi="Cambria Math"/>
          <w:i/>
          <w:iCs/>
          <w:sz w:val="24"/>
          <w:szCs w:val="24"/>
        </w:rPr>
        <w:t xml:space="preserve">c_MAFAPO = (1/n) Σ_j e(t_j),   j = 1…293</w:t>
      </w:r>
    </w:p>
    <w:p>
      <w:pPr>
        <w:pStyle w:val="Heading2"/>
        <w:spacing w:after="120" w:before="220"/>
      </w:pPr>
      <w:r>
        <w:rPr>
          <w:rFonts w:ascii="Times New Roman" w:cs="Times New Roman" w:eastAsia="Times New Roman" w:hAnsi="Times New Roman"/>
          <w:b/>
          <w:bCs/>
          <w:sz w:val="26"/>
          <w:szCs w:val="26"/>
        </w:rPr>
        <w:t xml:space="preserve">A.2.3 Distancia coseno</w:t>
      </w:r>
    </w:p>
    <w:p>
      <w:pPr>
        <w:spacing w:after="160" w:line="360" w:lineRule="auto"/>
        <w:jc w:val="both"/>
      </w:pPr>
      <w:r>
        <w:rPr>
          <w:rFonts w:ascii="Times New Roman" w:cs="Times New Roman" w:eastAsia="Times New Roman" w:hAnsi="Times New Roman"/>
          <w:sz w:val="22"/>
          <w:szCs w:val="22"/>
        </w:rPr>
        <w:t xml:space="preserve">Los indicadores y₈ e y₉ son la distancia coseno entre el embedding del bloque y cada centroide. Un valor menor indica mayor cercanía semántica al polo de referencia:</w:t>
      </w:r>
    </w:p>
    <w:p>
      <w:pPr>
        <w:spacing w:after="120" w:before="80"/>
        <w:jc w:val="center"/>
      </w:pPr>
      <w:r>
        <w:rPr>
          <w:rFonts w:ascii="Cambria Math" w:cs="Cambria Math" w:eastAsia="Cambria Math" w:hAnsi="Cambria Math"/>
          <w:i/>
          <w:iCs/>
          <w:sz w:val="24"/>
          <w:szCs w:val="24"/>
        </w:rPr>
        <w:t xml:space="preserve">d(e, c) = 1 − (e · c) / (‖e‖ · ‖c‖)</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3000"/>
        <w:gridCol w:w="1640"/>
        <w:gridCol w:w="1640"/>
        <w:gridCol w:w="1640"/>
        <w:gridCol w:w="1840"/>
      </w:tblGrid>
      <w:tr>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8"/>
                <w:szCs w:val="18"/>
              </w:rPr>
              <w:t xml:space="preserve">Indicador</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Corpus A</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Corpus B</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Corpus C</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p (A vs B)</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y₈ Dist. MAFAPO</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0.211</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0.191</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0.191</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&lt;0.001 ***</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y₉ Dist. CIDH</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0.254</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0.235</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0.263</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&lt;0.001 ***</w:t>
            </w:r>
          </w:p>
        </w:tc>
      </w:tr>
    </w:tbl>
    <w:p>
      <w:pPr>
        <w:spacing w:after="200" w:line="320"/>
        <w:jc w:val="both"/>
      </w:pPr>
      <w:r>
        <w:rPr>
          <w:rFonts w:ascii="Times New Roman" w:cs="Times New Roman" w:eastAsia="Times New Roman" w:hAnsi="Times New Roman"/>
          <w:i/>
          <w:iCs/>
          <w:sz w:val="18"/>
          <w:szCs w:val="18"/>
        </w:rPr>
        <w:t xml:space="preserve">Tabla A.3. Distancias semánticas medias por corpus (valores crudos, antes de normalización). Ambas distinguen significativamente A de B y resisten el control temporal (§5.7.1).</w:t>
      </w:r>
    </w:p>
    <w:p>
      <w:r>
        <w:br w:type="page"/>
      </w:r>
    </w:p>
    <w:p>
      <w:pPr>
        <w:pStyle w:val="Heading1"/>
        <w:spacing w:after="160" w:before="280"/>
      </w:pPr>
      <w:r>
        <w:rPr>
          <w:rFonts w:ascii="Times New Roman" w:cs="Times New Roman" w:eastAsia="Times New Roman" w:hAnsi="Times New Roman"/>
          <w:b/>
          <w:bCs/>
          <w:sz w:val="30"/>
          <w:szCs w:val="30"/>
        </w:rPr>
        <w:t xml:space="preserve">A.3 Score de Supresión de Agentividad (y₂)</w:t>
      </w:r>
    </w:p>
    <w:p>
      <w:pPr>
        <w:spacing w:after="160" w:line="360" w:lineRule="auto"/>
        <w:jc w:val="both"/>
      </w:pPr>
      <w:r>
        <w:rPr>
          <w:rFonts w:ascii="Times New Roman" w:cs="Times New Roman" w:eastAsia="Times New Roman" w:hAnsi="Times New Roman"/>
          <w:sz w:val="22"/>
          <w:szCs w:val="22"/>
        </w:rPr>
        <w:t xml:space="preserve">El indicador y₂ mide la proporción de construcciones gramaticales que ocultan al agente responsable. Se calcula mediante análisis de dependencias sintácticas con spaCy, detectando tres patrones formales.</w:t>
      </w:r>
    </w:p>
    <w:p>
      <w:pPr>
        <w:spacing w:after="160" w:line="360" w:lineRule="auto"/>
        <w:jc w:val="both"/>
      </w:pPr>
      <w:r>
        <w:rPr>
          <w:rFonts w:ascii="Times New Roman" w:cs="Times New Roman" w:eastAsia="Times New Roman" w:hAnsi="Times New Roman"/>
          <w:b/>
          <w:bCs/>
          <w:sz w:val="22"/>
          <w:szCs w:val="22"/>
        </w:rPr>
        <w:t xml:space="preserve">Pasivas sin agente: </w:t>
      </w:r>
      <w:r>
        <w:rPr>
          <w:rFonts w:ascii="Times New Roman" w:cs="Times New Roman" w:eastAsia="Times New Roman" w:hAnsi="Times New Roman"/>
          <w:sz w:val="22"/>
          <w:szCs w:val="22"/>
        </w:rPr>
        <w:t xml:space="preserve">oraciones con verbo en voz pasiva (etiqueta aux:pass) sin complemento agente explícito.</w:t>
      </w:r>
    </w:p>
    <w:p>
      <w:pPr>
        <w:spacing w:after="120" w:before="80"/>
        <w:jc w:val="center"/>
      </w:pPr>
      <w:r>
        <w:rPr>
          <w:rFonts w:ascii="Cambria Math" w:cs="Cambria Math" w:eastAsia="Cambria Math" w:hAnsi="Cambria Math"/>
          <w:i/>
          <w:iCs/>
          <w:sz w:val="24"/>
          <w:szCs w:val="24"/>
        </w:rPr>
        <w:t xml:space="preserve">𝟙_pasiva(s) = 1 si ∃ aux:pass ∧ ∄ agente explícito</w:t>
      </w:r>
    </w:p>
    <w:p>
      <w:pPr>
        <w:spacing w:after="160" w:line="360" w:lineRule="auto"/>
        <w:jc w:val="both"/>
      </w:pPr>
      <w:r>
        <w:rPr>
          <w:rFonts w:ascii="Times New Roman" w:cs="Times New Roman" w:eastAsia="Times New Roman" w:hAnsi="Times New Roman"/>
          <w:b/>
          <w:bCs/>
          <w:sz w:val="22"/>
          <w:szCs w:val="22"/>
        </w:rPr>
        <w:t xml:space="preserve">Impersonales con «se»: </w:t>
      </w:r>
      <w:r>
        <w:rPr>
          <w:rFonts w:ascii="Times New Roman" w:cs="Times New Roman" w:eastAsia="Times New Roman" w:hAnsi="Times New Roman"/>
          <w:sz w:val="22"/>
          <w:szCs w:val="22"/>
        </w:rPr>
        <w:t xml:space="preserve">construcciones con «se» sin sujeto nominal (sin nsubj).</w:t>
      </w:r>
    </w:p>
    <w:p>
      <w:pPr>
        <w:spacing w:after="120" w:before="80"/>
        <w:jc w:val="center"/>
      </w:pPr>
      <w:r>
        <w:rPr>
          <w:rFonts w:ascii="Cambria Math" w:cs="Cambria Math" w:eastAsia="Cambria Math" w:hAnsi="Cambria Math"/>
          <w:i/>
          <w:iCs/>
          <w:sz w:val="24"/>
          <w:szCs w:val="24"/>
        </w:rPr>
        <w:t xml:space="preserve">𝟙_imp(s) = 1 si «se» ∧ ∄ nsubj</w:t>
      </w:r>
    </w:p>
    <w:p>
      <w:pPr>
        <w:spacing w:after="160" w:line="360" w:lineRule="auto"/>
        <w:jc w:val="both"/>
      </w:pPr>
      <w:r>
        <w:rPr>
          <w:rFonts w:ascii="Times New Roman" w:cs="Times New Roman" w:eastAsia="Times New Roman" w:hAnsi="Times New Roman"/>
          <w:b/>
          <w:bCs/>
          <w:sz w:val="22"/>
          <w:szCs w:val="22"/>
        </w:rPr>
        <w:t xml:space="preserve">Nominalizaciones: </w:t>
      </w:r>
      <w:r>
        <w:rPr>
          <w:rFonts w:ascii="Times New Roman" w:cs="Times New Roman" w:eastAsia="Times New Roman" w:hAnsi="Times New Roman"/>
          <w:sz w:val="22"/>
          <w:szCs w:val="22"/>
        </w:rPr>
        <w:t xml:space="preserve">sustantivos derivados de verbos (sufijos -ción, -miento, -da) que encapsulan la acción sin nombrar al agente.</w:t>
      </w:r>
    </w:p>
    <w:p>
      <w:pPr>
        <w:spacing w:after="160" w:line="360" w:lineRule="auto"/>
        <w:jc w:val="both"/>
      </w:pPr>
      <w:r>
        <w:rPr>
          <w:rFonts w:ascii="Times New Roman" w:cs="Times New Roman" w:eastAsia="Times New Roman" w:hAnsi="Times New Roman"/>
          <w:sz w:val="22"/>
          <w:szCs w:val="22"/>
        </w:rPr>
        <w:t xml:space="preserve">El score final es la proporción de oraciones del bloque que contienen al menos uno de estos patrones:</w:t>
      </w:r>
    </w:p>
    <w:p>
      <w:pPr>
        <w:spacing w:after="120" w:before="80"/>
        <w:jc w:val="center"/>
      </w:pPr>
      <w:r>
        <w:rPr>
          <w:rFonts w:ascii="Cambria Math" w:cs="Cambria Math" w:eastAsia="Cambria Math" w:hAnsi="Cambria Math"/>
          <w:i/>
          <w:iCs/>
          <w:sz w:val="24"/>
          <w:szCs w:val="24"/>
        </w:rPr>
        <w:t xml:space="preserve">y₂ = (1/N_or) Σ_s max(𝟙_pasiva, 𝟙_imp, 𝟙_nom)</w:t>
      </w:r>
    </w:p>
    <w:p>
      <w:pPr>
        <w:spacing w:after="160" w:line="360" w:lineRule="auto"/>
        <w:jc w:val="both"/>
      </w:pPr>
      <w:r>
        <w:rPr>
          <w:rFonts w:ascii="Times New Roman" w:cs="Times New Roman" w:eastAsia="Times New Roman" w:hAnsi="Times New Roman"/>
          <w:sz w:val="22"/>
          <w:szCs w:val="22"/>
        </w:rPr>
        <w:t>Nota interpretativa: el SA no difiere significativamente entre la justicia ordinaria y la JEP (A=0.885, B=0.873, p=0.934 n.s.), lo que indica que es una convención transversal del género jurídico-institucional colombiano, no un mecanismo de encubrimiento exclusivo de un sistema. Esta propiedad es central para entender por qué el DIS agregado no separa A de B (véase A.6 y §5.13.1).</w:t>
      </w:r>
    </w:p>
    <w:p>
      <w:r>
        <w:br w:type="page"/>
      </w:r>
    </w:p>
    <w:p>
      <w:pPr>
        <w:pStyle w:val="Heading1"/>
        <w:spacing w:after="160" w:before="280"/>
      </w:pPr>
      <w:r>
        <w:rPr>
          <w:rFonts w:ascii="Times New Roman" w:cs="Times New Roman" w:eastAsia="Times New Roman" w:hAnsi="Times New Roman"/>
          <w:b/>
          <w:bCs/>
          <w:sz w:val="30"/>
          <w:szCs w:val="30"/>
        </w:rPr>
        <w:t xml:space="preserve">A.4 Canal vocal: features acústicas eGeMAPS (ICM vocal)</w:t>
      </w:r>
    </w:p>
    <w:p>
      <w:pPr>
        <w:spacing w:after="160" w:line="360" w:lineRule="auto"/>
        <w:jc w:val="both"/>
      </w:pPr>
      <w:r>
        <w:rPr>
          <w:rFonts w:ascii="Times New Roman" w:cs="Times New Roman" w:eastAsia="Times New Roman" w:hAnsi="Times New Roman"/>
          <w:sz w:val="22"/>
          <w:szCs w:val="22"/>
        </w:rPr>
        <w:t xml:space="preserve">El canal vocal del ICM se extrae con OpenSMILE sobre el conjunto eGeMAPS v02 (88 features acústicas), aplicado a los segmentos diarizados del compareciente. El ICM vocal se construye sobre tres descriptores de fundamento prosódico directo en el distress emocional.</w:t>
      </w:r>
    </w:p>
    <w:p>
      <w:pPr>
        <w:spacing w:after="160" w:line="360" w:lineRule="auto"/>
        <w:jc w:val="both"/>
      </w:pPr>
      <w:r>
        <w:rPr>
          <w:rFonts w:ascii="Times New Roman" w:cs="Times New Roman" w:eastAsia="Times New Roman" w:hAnsi="Times New Roman"/>
          <w:b/>
          <w:bCs/>
          <w:sz w:val="22"/>
          <w:szCs w:val="22"/>
        </w:rPr>
        <w:t xml:space="preserve">Shimmer (localDB): </w:t>
      </w:r>
      <w:r>
        <w:rPr>
          <w:rFonts w:ascii="Times New Roman" w:cs="Times New Roman" w:eastAsia="Times New Roman" w:hAnsi="Times New Roman"/>
          <w:sz w:val="22"/>
          <w:szCs w:val="22"/>
        </w:rPr>
        <w:t xml:space="preserve">irregularidad de amplitud ciclo a ciclo, asociada al quiebre de voz. Para N ciclos con amplitudes A_i:</w:t>
      </w:r>
    </w:p>
    <w:p>
      <w:pPr>
        <w:spacing w:after="120" w:before="80"/>
        <w:jc w:val="center"/>
      </w:pPr>
      <w:r>
        <w:rPr>
          <w:rFonts w:ascii="Cambria Math" w:cs="Cambria Math" w:eastAsia="Cambria Math" w:hAnsi="Cambria Math"/>
          <w:i/>
          <w:iCs/>
          <w:sz w:val="24"/>
          <w:szCs w:val="24"/>
        </w:rPr>
        <w:t xml:space="preserve">shimmer = (1/(N−1)) Σ |20·log₁₀(A_{i+1}/A_i)|</w:t>
      </w:r>
    </w:p>
    <w:p>
      <w:pPr>
        <w:spacing w:after="160" w:line="360" w:lineRule="auto"/>
        <w:jc w:val="both"/>
      </w:pPr>
      <w:r>
        <w:rPr>
          <w:rFonts w:ascii="Times New Roman" w:cs="Times New Roman" w:eastAsia="Times New Roman" w:hAnsi="Times New Roman"/>
          <w:b/>
          <w:bCs/>
          <w:sz w:val="22"/>
          <w:szCs w:val="22"/>
        </w:rPr>
        <w:t xml:space="preserve">Variabilidad de F0: </w:t>
      </w:r>
      <w:r>
        <w:rPr>
          <w:rFonts w:ascii="Times New Roman" w:cs="Times New Roman" w:eastAsia="Times New Roman" w:hAnsi="Times New Roman"/>
          <w:sz w:val="22"/>
          <w:szCs w:val="22"/>
        </w:rPr>
        <w:t xml:space="preserve">desviación estándar de la frecuencia fundamental, indicador de modulación tonal.</w:t>
      </w:r>
    </w:p>
    <w:p>
      <w:pPr>
        <w:spacing w:after="120" w:before="80"/>
        <w:jc w:val="center"/>
      </w:pPr>
      <w:r>
        <w:rPr>
          <w:rFonts w:ascii="Cambria Math" w:cs="Cambria Math" w:eastAsia="Cambria Math" w:hAnsi="Cambria Math"/>
          <w:i/>
          <w:iCs/>
          <w:sz w:val="24"/>
          <w:szCs w:val="24"/>
        </w:rPr>
        <w:t xml:space="preserve">F0_std = √( (1/N) Σ (F0_i − F̄0)² )</w:t>
      </w:r>
    </w:p>
    <w:p>
      <w:pPr>
        <w:spacing w:after="160" w:line="360" w:lineRule="auto"/>
        <w:jc w:val="both"/>
      </w:pPr>
      <w:r>
        <w:rPr>
          <w:rFonts w:ascii="Times New Roman" w:cs="Times New Roman" w:eastAsia="Times New Roman" w:hAnsi="Times New Roman"/>
          <w:b/>
          <w:bCs/>
          <w:sz w:val="22"/>
          <w:szCs w:val="22"/>
        </w:rPr>
        <w:t xml:space="preserve">HNR invertido: </w:t>
      </w:r>
      <w:r>
        <w:rPr>
          <w:rFonts w:ascii="Times New Roman" w:cs="Times New Roman" w:eastAsia="Times New Roman" w:hAnsi="Times New Roman"/>
          <w:sz w:val="22"/>
          <w:szCs w:val="22"/>
        </w:rPr>
        <w:t xml:space="preserve">razón armónico-ruido invertida, asociada a calidad vocal degradada bajo carga emocional.</w:t>
      </w:r>
    </w:p>
    <w:p>
      <w:pPr>
        <w:spacing w:after="160" w:line="360" w:lineRule="auto"/>
        <w:jc w:val="both"/>
      </w:pPr>
      <w:r>
        <w:rPr>
          <w:rFonts w:ascii="Times New Roman" w:cs="Times New Roman" w:eastAsia="Times New Roman" w:hAnsi="Times New Roman"/>
          <w:sz w:val="22"/>
          <w:szCs w:val="22"/>
        </w:rPr>
        <w:t xml:space="preserve">El canal vocal se normaliza mediante una escala fija anclada en valores de referencia de la literatura (piso fisiológico y techo documentado), produciendo valores absolutos comparables e independientes de la composición de la muestra (Nivel 3, A.0).</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400"/>
      </w:tblGrid>
      <w:tr>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8"/>
                <w:szCs w:val="18"/>
              </w:rPr>
              <w:t xml:space="preserve">Subcaso</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Shimmer (dB)</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ICM vocal</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Casanare</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1.42 (máx.)</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0.415</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Catatumbo</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0.272</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Dabeiba</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0.452 (máx.)</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Huila</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0.342</w:t>
            </w:r>
          </w:p>
        </w:tc>
      </w:tr>
    </w:tbl>
    <w:p>
      <w:pPr>
        <w:spacing w:after="200" w:line="320"/>
        <w:jc w:val="both"/>
      </w:pPr>
      <w:r>
        <w:rPr>
          <w:rFonts w:ascii="Times New Roman" w:cs="Times New Roman" w:eastAsia="Times New Roman" w:hAnsi="Times New Roman"/>
          <w:i/>
          <w:iCs/>
          <w:sz w:val="18"/>
          <w:szCs w:val="18"/>
        </w:rPr>
        <w:t xml:space="preserve">Tabla A.4. ICM vocal por subcaso. Casanare presenta el shimmer más alto del corpus pese a su bajo ICM facial — la divergencia vocal-facial (Δ=0.225) es la mayor del corpus.</w:t>
      </w:r>
    </w:p>
    <w:p>
      <w:r>
        <w:br w:type="page"/>
      </w:r>
    </w:p>
    <w:p>
      <w:pPr>
        <w:pStyle w:val="Heading1"/>
        <w:spacing w:after="160" w:before="280"/>
      </w:pPr>
      <w:r>
        <w:rPr>
          <w:rFonts w:ascii="Times New Roman" w:cs="Times New Roman" w:eastAsia="Times New Roman" w:hAnsi="Times New Roman"/>
          <w:b/>
          <w:bCs/>
          <w:sz w:val="30"/>
          <w:szCs w:val="30"/>
        </w:rPr>
        <w:t xml:space="preserve">A.5 Canal facial: Action Units con MediaPipe (ICM facial)</w:t>
      </w:r>
    </w:p>
    <w:p>
      <w:pPr>
        <w:spacing w:after="160" w:line="360" w:lineRule="auto"/>
        <w:jc w:val="both"/>
      </w:pPr>
      <w:r>
        <w:rPr>
          <w:rFonts w:ascii="Times New Roman" w:cs="Times New Roman" w:eastAsia="Times New Roman" w:hAnsi="Times New Roman"/>
          <w:sz w:val="22"/>
          <w:szCs w:val="22"/>
        </w:rPr>
        <w:t xml:space="preserve">El canal facial se extrae con MediaPipe FaceLandmarker sobre los segmentos diarizados del compareciente. Se computan Action Units (AUs) del sistema FACS asociadas al distress (AU4 ceño fruncido, AU1 elevación de cejas, AU15 comisuras hacia abajo) y a la sonrisa social (AU12).</w:t>
      </w:r>
    </w:p>
    <w:p>
      <w:pPr>
        <w:spacing w:after="160" w:line="360" w:lineRule="auto"/>
        <w:jc w:val="both"/>
      </w:pPr>
      <w:r>
        <w:rPr>
          <w:rFonts w:ascii="Times New Roman" w:cs="Times New Roman" w:eastAsia="Times New Roman" w:hAnsi="Times New Roman"/>
          <w:sz w:val="22"/>
          <w:szCs w:val="22"/>
        </w:rPr>
        <w:t xml:space="preserve">El ICM facial se define como la proporción de distress respecto al total de expresión emocional detectada:</w:t>
      </w:r>
    </w:p>
    <w:p>
      <w:pPr>
        <w:spacing w:after="120" w:before="80"/>
        <w:jc w:val="center"/>
      </w:pPr>
      <w:r>
        <w:rPr>
          <w:rFonts w:ascii="Cambria Math" w:cs="Cambria Math" w:eastAsia="Cambria Math" w:hAnsi="Cambria Math"/>
          <w:i/>
          <w:iCs/>
          <w:sz w:val="24"/>
          <w:szCs w:val="24"/>
        </w:rPr>
        <w:t xml:space="preserve">ICM_facial = distress / (distress + sonrisa)</w:t>
      </w:r>
    </w:p>
    <w:p>
      <w:pPr>
        <w:spacing w:after="160" w:line="360" w:lineRule="auto"/>
        <w:jc w:val="both"/>
      </w:pPr>
      <w:r>
        <w:rPr>
          <w:rFonts w:ascii="Times New Roman" w:cs="Times New Roman" w:eastAsia="Times New Roman" w:hAnsi="Times New Roman"/>
          <w:sz w:val="22"/>
          <w:szCs w:val="22"/>
        </w:rPr>
        <w:t xml:space="preserve">Un valor alto indica predominio de AUs de distress; un valor bajo, predominio de sonrisa. El canal facial se normaliza por z-score comparativo sobre la distribución del corpus, con media y desviación congeladas como constantes de calibración (Nivel 3, A.0).</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900"/>
        <w:gridCol w:w="1700"/>
        <w:gridCol w:w="1700"/>
      </w:tblGrid>
      <w:tr>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8"/>
                <w:szCs w:val="18"/>
              </w:rPr>
              <w:t xml:space="preserve">Subcaso</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AU4 ceño</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AU12 sonrisa</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Detección %</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ICM facial</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Casanare</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0.076</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0.091</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86%</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0.190</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Catatumbo</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0.183</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0.131</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55%</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0.272</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Huila</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0.235</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0.085</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93%</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0.299</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Dabeiba</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0.371</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0.079</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40%</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0.353</w:t>
            </w:r>
          </w:p>
        </w:tc>
      </w:tr>
    </w:tbl>
    <w:p>
      <w:pPr>
        <w:spacing w:after="200" w:line="320"/>
        <w:jc w:val="both"/>
      </w:pPr>
      <w:r>
        <w:rPr>
          <w:rFonts w:ascii="Times New Roman" w:cs="Times New Roman" w:eastAsia="Times New Roman" w:hAnsi="Times New Roman"/>
          <w:i/>
          <w:iCs/>
          <w:sz w:val="18"/>
          <w:szCs w:val="18"/>
        </w:rPr>
        <w:t xml:space="preserve">Tabla A.5. ICM facial por subcaso. La tasa de detección variable (40–93%) limita la comparabilidad; la baja detección en Dabeiba (40%) exige cautela interpretativa.</w:t>
      </w:r>
    </w:p>
    <w:p>
      <w:pPr>
        <w:spacing w:after="160" w:line="360" w:lineRule="auto"/>
        <w:jc w:val="both"/>
      </w:pPr>
      <w:r>
        <w:rPr>
          <w:rFonts w:ascii="Times New Roman" w:cs="Times New Roman" w:eastAsia="Times New Roman" w:hAnsi="Times New Roman"/>
          <w:b/>
          <w:bCs/>
          <w:sz w:val="22"/>
          <w:szCs w:val="22"/>
        </w:rPr>
        <w:t xml:space="preserve">Salvaguarda epistemológica. </w:t>
      </w:r>
      <w:r>
        <w:rPr>
          <w:rFonts w:ascii="Times New Roman" w:cs="Times New Roman" w:eastAsia="Times New Roman" w:hAnsi="Times New Roman"/>
          <w:sz w:val="22"/>
          <w:szCs w:val="22"/>
        </w:rPr>
        <w:t xml:space="preserve">Conforme a Barrett et al. (2019), las configuraciones faciales no decodifican estados emocionales internos de manera universal. El ICM facial no mide sinceridad individual de los comparecientes: mide congruencia entre canales comunicativos a nivel de corpus. Adicionalmente, MediaPipe no ha sido auditado sobre rostros mestizos, afrocolombianos o indígenas (Buolamwini y Gebru, 2018), por lo que los resultados faciales deben interpretarse con esta limitación explícita.</w:t>
      </w:r>
    </w:p>
    <w:p>
      <w:r>
        <w:br w:type="page"/>
      </w:r>
    </w:p>
    <w:p>
      <w:pPr>
        <w:pStyle w:val="Heading1"/>
        <w:spacing w:after="160" w:before="280"/>
      </w:pPr>
      <w:r>
        <w:rPr>
          <w:rFonts w:ascii="Times New Roman" w:cs="Times New Roman" w:eastAsia="Times New Roman" w:hAnsi="Times New Roman"/>
          <w:b/>
          <w:bCs/>
          <w:sz w:val="30"/>
          <w:szCs w:val="30"/>
        </w:rPr>
        <w:t xml:space="preserve">A.6 Índice de Injusticia Discursiva (DIS Score)</w:t>
      </w:r>
    </w:p>
    <w:p>
      <w:pPr>
        <w:spacing w:after="160" w:line="360" w:lineRule="auto"/>
        <w:jc w:val="both"/>
      </w:pPr>
      <w:r>
        <w:rPr>
          <w:rFonts w:ascii="Times New Roman" w:cs="Times New Roman" w:eastAsia="Times New Roman" w:hAnsi="Times New Roman"/>
          <w:sz w:val="22"/>
          <w:szCs w:val="22"/>
        </w:rPr>
        <w:t>El DIS Score sintetiza la injusticia discursiva de superficie: el eufemismo bélico-institucional que invisibiliza el crimen en el vocabulario (EBI), la supresión de agentividad que oculta al responsable (SA) y la ausencia de reparación (REP invertido). Es una combinación lineal de tres indicadores normalizados en el Nivel 1 (A.0):</w:t>
      </w:r>
    </w:p>
    <w:p>
      <w:pPr>
        <w:spacing w:after="120" w:before="80"/>
        <w:jc w:val="center"/>
      </w:pPr>
      <w:r>
        <w:rPr>
          <w:rFonts w:ascii="Cambria Math" w:cs="Cambria Math" w:eastAsia="Cambria Math" w:hAnsi="Cambria Math"/>
          <w:i/>
          <w:iCs/>
          <w:sz w:val="24"/>
          <w:szCs w:val="24"/>
        </w:rPr>
        <w:t>DIS = 0.40·ŷ₁ + 0.30·ŷ₂ + 0.30·(1 − ŷ₁₀)</w:t>
      </w:r>
    </w:p>
    <w:p>
      <w:pPr>
        <w:spacing w:after="160" w:line="360" w:lineRule="auto"/>
        <w:jc w:val="both"/>
      </w:pPr>
      <w:r>
        <w:rPr>
          <w:rFonts w:ascii="Times New Roman" w:cs="Times New Roman" w:eastAsia="Times New Roman" w:hAnsi="Times New Roman"/>
          <w:sz w:val="22"/>
          <w:szCs w:val="22"/>
        </w:rPr>
        <w:t>Los pesos son a priori, fundamentados teóricamente: el EBI (peso 0.40) representa el mecanismo central de la violencia cultural galtunguiana sobre el vocabulario; la SA (peso 0.30) representa la dimensión gramatical de la distorsión; y la ausencia de REP (peso 0.30) representa la no-reparación en el sentido de Fraser. La Negación de Victimización (NV) no forma parte del DIS: se ubica en el IEI, por operacionalizar el déficit de credibilidad testimonial de Fricker (véase A.7). Un análisis de parsimonia sobre el espacio de pesos confirma que el ranking de subcasos es estable ante variaciones razonables de la ponderación.</w:t>
      </w:r>
    </w:p>
    <w:p>
      <w:pPr>
        <w:pStyle w:val="Heading2"/>
        <w:spacing w:after="120" w:before="220"/>
      </w:pPr>
      <w:r>
        <w:rPr>
          <w:rFonts w:ascii="Times New Roman" w:cs="Times New Roman" w:eastAsia="Times New Roman" w:hAnsi="Times New Roman"/>
          <w:b/>
          <w:bCs/>
          <w:sz w:val="26"/>
          <w:szCs w:val="26"/>
        </w:rPr>
        <w:t>A.6.1 El DIS por subcaso</w:t>
      </w:r>
    </w:p>
    <w:p>
      <w:pPr>
        <w:spacing w:after="200" w:line="320"/>
        <w:jc w:val="both"/>
      </w:pPr>
      <w:r>
        <w:rPr>
          <w:rFonts w:ascii="Times New Roman" w:cs="Times New Roman" w:eastAsia="Times New Roman" w:hAnsi="Times New Roman"/>
          <w:i/>
          <w:iCs/>
          <w:sz w:val="18"/>
          <w:szCs w:val="18"/>
        </w:rPr>
        <w:t>Los valores del DIS Score por subcaso del Corpus C se presentan de forma integrada junto con el IEI en la Tabla A.8 (sección A.7.1), que permite comparar ambas dimensiones por subcaso. El DIS más alto corresponde a Casanare y el más bajo a Huila, en coherencia con el gradiente por rango observado en el análisis multimodal del Capítulo 5.</w:t>
      </w:r>
    </w:p>
    <w:p>
      <w:pPr>
        <w:pStyle w:val="Heading2"/>
        <w:spacing w:after="120" w:before="220"/>
      </w:pPr>
      <w:r>
        <w:rPr>
          <w:rFonts w:ascii="Times New Roman" w:cs="Times New Roman" w:eastAsia="Times New Roman" w:hAnsi="Times New Roman"/>
          <w:b/>
          <w:bCs/>
          <w:sz w:val="26"/>
          <w:szCs w:val="26"/>
        </w:rPr>
        <w:t xml:space="preserve">A.6.2 El DIS agregado no distingue A de B: verificación de robustez</w:t>
      </w:r>
    </w:p>
    <w:p>
      <w:pPr>
        <w:spacing w:after="160" w:line="360" w:lineRule="auto"/>
        <w:jc w:val="both"/>
      </w:pPr>
      <w:r>
        <w:rPr>
          <w:rFonts w:ascii="Times New Roman" w:cs="Times New Roman" w:eastAsia="Times New Roman" w:hAnsi="Times New Roman"/>
          <w:sz w:val="22"/>
          <w:szCs w:val="22"/>
        </w:rPr>
        <w:t xml:space="preserve">Una propiedad central del DIS, relevante para su interpretación, es que el índice agregado no distingue significativamente la justicia ordinaria (Corpus A) de la JEP escrita (Corpus B). Esta no-diferencia se verificó bajo tres esquemas de normalización para descartar que fuera un artefacto del método:</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400"/>
        <w:gridCol w:w="1300"/>
        <w:gridCol w:w="1300"/>
        <w:gridCol w:w="1900"/>
        <w:gridCol w:w="900"/>
      </w:tblGrid>
      <w:tr>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8"/>
                <w:szCs w:val="18"/>
              </w:rPr>
              <w:t xml:space="preserve">Esquema de normalización</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DIS A</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DIS B</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p (Mann-Whitney)</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Sig.</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z-score+sigmoide sobre A+B</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0.511</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0.490</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0.115</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n.s.</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z-score+sigmoide sobre A+B+C</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0.514</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0.496</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0.0688</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n.s.</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Indicadores crudos (sin normalizar)</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0.668</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0.655</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0.279</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n.s.</w:t>
            </w:r>
          </w:p>
        </w:tc>
      </w:tr>
    </w:tbl>
    <w:p>
      <w:pPr>
        <w:spacing w:after="200" w:line="320"/>
        <w:jc w:val="both"/>
      </w:pPr>
      <w:r>
        <w:rPr>
          <w:rFonts w:ascii="Times New Roman" w:cs="Times New Roman" w:eastAsia="Times New Roman" w:hAnsi="Times New Roman"/>
          <w:i/>
          <w:iCs/>
          <w:sz w:val="18"/>
          <w:szCs w:val="18"/>
        </w:rPr>
        <w:t xml:space="preserve">Tabla A.7. DIS agregado (A vs B) bajo tres esquemas de normalización. La no-significancia se mantiene en los tres casos.</w:t>
      </w:r>
    </w:p>
    <w:p>
      <w:pPr>
        <w:spacing w:after="160" w:line="360" w:lineRule="auto"/>
        <w:jc w:val="both"/>
      </w:pPr>
      <w:r>
        <w:rPr>
          <w:rFonts w:ascii="Times New Roman" w:cs="Times New Roman" w:eastAsia="Times New Roman" w:hAnsi="Times New Roman"/>
          <w:b/>
          <w:bCs/>
          <w:sz w:val="22"/>
          <w:szCs w:val="22"/>
        </w:rPr>
        <w:t xml:space="preserve">Interpretación. </w:t>
      </w:r>
      <w:r>
        <w:rPr>
          <w:rFonts w:ascii="Times New Roman" w:cs="Times New Roman" w:eastAsia="Times New Roman" w:hAnsi="Times New Roman"/>
          <w:sz w:val="22"/>
          <w:szCs w:val="22"/>
        </w:rPr>
        <w:t xml:space="preserve">La tercera fila es concluyente: la prueba de Mann-Whitney compara rangos y es invariante ante cualquier transformación monótona (z-score, sigmoide, min-max). Que el DIS crudo arroje p=0.279 demuestra que la ausencia de diferencia es una propiedad de los datos, no del esquema de normalización. La causa es la dilución por agregación: el DIS promedia un indicador no discriminante (y₂ SA, transversal al género jurídico, p=0.934) con uno fuertemente discriminante (y₁₀ REP, p&lt;0.001), de modo que la señal del reconocimiento queda compensada por la invariancia de la supresión de agentividad. El tamaño de efecto del DIS agregado es trivial (d=0.092), frente al efecto del REP (d=0.371). El framework no descarta esta no-diferencia: la reporta como evidencia de que la transición discursiva se manifiesta a nivel de indicadores específicos y del índice epistémico (IEI), no del índice discursivo agregado.</w:t>
      </w:r>
    </w:p>
    <w:p>
      <w:r>
        <w:br w:type="page"/>
      </w:r>
    </w:p>
    <w:p>
      <w:pPr>
        <w:pStyle w:val="Heading1"/>
        <w:spacing w:after="160" w:before="280"/>
      </w:pPr>
      <w:r>
        <w:rPr>
          <w:rFonts w:ascii="Times New Roman" w:cs="Times New Roman" w:eastAsia="Times New Roman" w:hAnsi="Times New Roman"/>
          <w:b/>
          <w:bCs/>
          <w:sz w:val="30"/>
          <w:szCs w:val="30"/>
        </w:rPr>
        <w:t xml:space="preserve">A.7 Índice de Injusticia Epistémica (IEI)</w:t>
      </w:r>
    </w:p>
    <w:p>
      <w:pPr>
        <w:spacing w:after="160" w:line="360" w:lineRule="auto"/>
        <w:jc w:val="both"/>
      </w:pPr>
      <w:r>
        <w:rPr>
          <w:rFonts w:ascii="Times New Roman" w:cs="Times New Roman" w:eastAsia="Times New Roman" w:hAnsi="Times New Roman"/>
          <w:sz w:val="22"/>
          <w:szCs w:val="22"/>
        </w:rPr>
        <w:t>El IEI operacionaliza el marco de Fricker (2007). Mide la injusticia epistémica como la combinación de la distancia semántica al léxico de las víctimas (y₈, centroide MAFAPO) y a los estándares de derechos humanos (y₉, CIDH) —que capturan la injusticia hermenéutica— y la Negación de Victimización (y₄) —que captura el déficit de credibilidad de la injusticia testimonial:</w:t>
      </w:r>
    </w:p>
    <w:p>
      <w:pPr>
        <w:spacing w:after="120" w:before="80"/>
        <w:jc w:val="center"/>
      </w:pPr>
      <w:r>
        <w:rPr>
          <w:rFonts w:ascii="Cambria Math" w:cs="Cambria Math" w:eastAsia="Cambria Math" w:hAnsi="Cambria Math"/>
          <w:i/>
          <w:iCs/>
          <w:sz w:val="24"/>
          <w:szCs w:val="24"/>
        </w:rPr>
        <w:t>IEI = 0.40·ŷ₈ + 0.30·ŷ₉ + 0.30·ŷ₄</w:t>
      </w:r>
    </w:p>
    <w:p>
      <w:pPr>
        <w:spacing w:after="160" w:line="360" w:lineRule="auto"/>
        <w:jc w:val="both"/>
      </w:pPr>
      <w:r>
        <w:rPr>
          <w:rFonts w:ascii="Times New Roman" w:cs="Times New Roman" w:eastAsia="Times New Roman" w:hAnsi="Times New Roman"/>
          <w:sz w:val="22"/>
          <w:szCs w:val="22"/>
        </w:rPr>
        <w:t>A diferencia del DIS, el IEI sí distingue significativamente la justicia ordinaria de la JEP escrita (A=0.513, B=0.353, p&lt;0.001), porque sus componentes dominantes (y₈, y₉) son justamente los que resisten el control temporal y constituyen la brecha estructural entre los sistemas. La ubicación de la NV en el IEI —y no en el DIS— refuerza esta separación: el credibility deficit es una dimensión epistémica, no una mera distorsión de superficie.</w:t>
      </w:r>
    </w:p>
    <w:p>
      <w:pPr>
        <w:pStyle w:val="Heading2"/>
        <w:spacing w:after="120" w:before="220"/>
      </w:pPr>
      <w:r>
        <w:rPr>
          <w:rFonts w:ascii="Times New Roman" w:cs="Times New Roman" w:eastAsia="Times New Roman" w:hAnsi="Times New Roman"/>
          <w:b/>
          <w:bCs/>
          <w:sz w:val="26"/>
          <w:szCs w:val="26"/>
        </w:rPr>
        <w:t xml:space="preserve">A.7.1 Comparación DIS frente a IEI por subcaso</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1500"/>
        <w:gridCol w:w="1300"/>
        <w:gridCol w:w="1800"/>
      </w:tblGrid>
      <w:tr>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8"/>
                <w:szCs w:val="18"/>
              </w:rPr>
              <w:t xml:space="preserve">Subcaso</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DIS</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IEI</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Δ</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Patrón</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Casanare</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0.520</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0.570</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0.050</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IEI&gt;DIS</w:t>
            </w:r>
          </w:p>
        </w:tc>
      </w:tr>
      <w:tr>
        <w:tc>
          <w:tcPr>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Catatumbo</w:t>
            </w:r>
          </w:p>
        </w:tc>
        <w:tc>
          <w:tcPr>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0.509</w:t>
            </w:r>
          </w:p>
        </w:tc>
        <w:tc>
          <w:tcPr>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0.451</w:t>
            </w:r>
          </w:p>
        </w:tc>
        <w:tc>
          <w:tcPr>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0.058</w:t>
            </w:r>
          </w:p>
        </w:tc>
        <w:tc>
          <w:tcPr>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DIS&gt;IEI</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Costa Caribe</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0.412</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0.365</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0.047</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DIS&gt;IEI</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Dabeiba</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0.402</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0.370</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0.032</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DIS&gt;IEI</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Huila</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0.369</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0.354</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0.015</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DIS&gt;IEI</w:t>
            </w:r>
          </w:p>
        </w:tc>
      </w:tr>
    </w:tbl>
    <w:p>
      <w:pPr>
        <w:spacing w:after="200" w:line="320"/>
        <w:jc w:val="both"/>
      </w:pPr>
      <w:r>
        <w:rPr>
          <w:rFonts w:ascii="Times New Roman" w:cs="Times New Roman" w:eastAsia="Times New Roman" w:hAnsi="Times New Roman"/>
          <w:i/>
          <w:iCs/>
          <w:sz w:val="18"/>
          <w:szCs w:val="18"/>
        </w:rPr>
        <w:t xml:space="preserve">Tabla A.8. DIS frente a IEI por subcaso (base unificada). Catatumbo (verde) es el único subcaso donde la injusticia epistémica supera a la discursiva.</w:t>
      </w:r>
    </w:p>
    <w:p>
      <w:pPr>
        <w:spacing w:after="160" w:line="360" w:lineRule="auto"/>
        <w:jc w:val="both"/>
      </w:pPr>
      <w:r>
        <w:rPr>
          <w:rFonts w:ascii="Times New Roman" w:cs="Times New Roman" w:eastAsia="Times New Roman" w:hAnsi="Times New Roman"/>
          <w:b/>
          <w:bCs/>
          <w:sz w:val="22"/>
          <w:szCs w:val="22"/>
        </w:rPr>
        <w:t>Disociación DIS–IEI. Los dos índices no comparten indicadores y su correlación empírica es baja, lo que confirma que miden dimensiones independientes del daño. En el análisis por subcaso del Corpus C, el único perfil donde la injusticia epistémica supera a la discursiva (IEI&gt;DIS) corresponde a Casanare, cuya lectura debe tomarse con cautela por tratarse de un único compareciente. El resto de los subcasos presenta DIS≥IEI. La independencia de ambas dimensiones —y no un caso individual— es el hallazgo sustantivo, y converge con el análisis léxico-semántico de §5.14.</w:t>
      </w:r>
      <w:r>
        <w:rPr>
          <w:rFonts w:ascii="Times New Roman" w:cs="Times New Roman" w:eastAsia="Times New Roman" w:hAnsi="Times New Roman"/>
          <w:sz w:val="22"/>
          <w:szCs w:val="22"/>
        </w:rPr>
      </w:r>
    </w:p>
    <w:p>
      <w:r>
        <w:br w:type="page"/>
      </w:r>
    </w:p>
    <w:p>
      <w:pPr>
        <w:pStyle w:val="Heading1"/>
        <w:spacing w:after="160" w:before="280"/>
      </w:pPr>
      <w:r>
        <w:rPr>
          <w:rFonts w:ascii="Times New Roman" w:cs="Times New Roman" w:eastAsia="Times New Roman" w:hAnsi="Times New Roman"/>
          <w:b/>
          <w:bCs/>
          <w:sz w:val="30"/>
          <w:szCs w:val="30"/>
        </w:rPr>
        <w:t xml:space="preserve">A.8 Índice de Congruencia Multimodal (ICM tri-canal)</w:t>
      </w:r>
    </w:p>
    <w:p>
      <w:pPr>
        <w:spacing w:after="160" w:line="360" w:lineRule="auto"/>
        <w:jc w:val="both"/>
      </w:pPr>
      <w:r>
        <w:rPr>
          <w:rFonts w:ascii="Times New Roman" w:cs="Times New Roman" w:eastAsia="Times New Roman" w:hAnsi="Times New Roman"/>
          <w:sz w:val="22"/>
          <w:szCs w:val="22"/>
        </w:rPr>
        <w:t xml:space="preserve">El ICM integra los tres canales comunicativos de las audiencias orales mediante ponderación explícita. A diferencia del DIS y el IEI, opera a nivel del compareciente individual y solo sobre el Corpus C:</w:t>
      </w:r>
    </w:p>
    <w:p>
      <w:pPr>
        <w:spacing w:after="120" w:before="80"/>
        <w:jc w:val="center"/>
      </w:pPr>
      <w:r>
        <w:rPr>
          <w:rFonts w:ascii="Cambria Math" w:cs="Cambria Math" w:eastAsia="Cambria Math" w:hAnsi="Cambria Math"/>
          <w:i/>
          <w:iCs/>
          <w:sz w:val="24"/>
          <w:szCs w:val="24"/>
        </w:rPr>
        <w:t xml:space="preserve">ICM = 0.40·ICM_facial + 0.40·ICM_vocal + 0.20·ICM_verbal</w:t>
      </w:r>
    </w:p>
    <w:p>
      <w:pPr>
        <w:spacing w:after="160" w:line="360" w:lineRule="auto"/>
        <w:jc w:val="both"/>
      </w:pPr>
      <w:r>
        <w:rPr>
          <w:rFonts w:ascii="Times New Roman" w:cs="Times New Roman" w:eastAsia="Times New Roman" w:hAnsi="Times New Roman"/>
          <w:sz w:val="22"/>
          <w:szCs w:val="22"/>
        </w:rPr>
        <w:t xml:space="preserve">Los pesos reflejan tres criterios: teórico (los canales no verbales son más difíciles de controlar conscientemente, Zehr 2002, por lo que pesan más); metodológico (el canal verbal es un proxy indirecto, ya capturado parcialmente en el DIS/IEI, por lo que pesa menos); y empírico (el ranking de subcasos es estable ante variaciones de los pesos, confirmado por análisis de sensibilidad). Cada canal se normaliza según su propia naturaleza (Nivel 3, A.0): facial por z-score comparativo, vocal por escala fija de literatura, verbal como proporción del discurso reparador.</w:t>
      </w:r>
    </w:p>
    <w:p>
      <w:pPr>
        <w:spacing w:after="160" w:line="360" w:lineRule="auto"/>
        <w:jc w:val="both"/>
      </w:pPr>
      <w:r>
        <w:rPr>
          <w:rFonts w:ascii="Times New Roman" w:cs="Times New Roman" w:eastAsia="Times New Roman" w:hAnsi="Times New Roman"/>
          <w:b/>
          <w:bCs/>
          <w:sz w:val="22"/>
          <w:szCs w:val="22"/>
        </w:rPr>
        <w:t xml:space="preserve">Salvaguarda epistemológica. </w:t>
      </w:r>
      <w:r>
        <w:rPr>
          <w:rFonts w:ascii="Times New Roman" w:cs="Times New Roman" w:eastAsia="Times New Roman" w:hAnsi="Times New Roman"/>
          <w:sz w:val="22"/>
          <w:szCs w:val="22"/>
        </w:rPr>
        <w:t xml:space="preserve">El ICM mide congruencia entre canales comunicativos a nivel de corpus, no sinceridad psicológica individual (Barrett et al., 2019; Crivelli y Fridlund, 2018; Camara et al., 2024). Su validación perceptual —correlación con la percepción humana de congruencia comunicativa, no de sinceridad— se plantea como línea de trabajo de mediano plazo.</w:t>
      </w:r>
    </w:p>
    <w:p>
      <w:r>
        <w:br w:type="page"/>
      </w:r>
    </w:p>
    <w:p>
      <w:pPr>
        <w:pStyle w:val="Heading1"/>
        <w:spacing w:after="160" w:before="280"/>
      </w:pPr>
      <w:r>
        <w:rPr>
          <w:rFonts w:ascii="Times New Roman" w:cs="Times New Roman" w:eastAsia="Times New Roman" w:hAnsi="Times New Roman"/>
          <w:b/>
          <w:bCs/>
          <w:sz w:val="30"/>
          <w:szCs w:val="30"/>
        </w:rPr>
        <w:t xml:space="preserve">A.9 Inferencia estadística: Mann-Whitney U</w:t>
      </w:r>
    </w:p>
    <w:p>
      <w:pPr>
        <w:spacing w:after="160" w:line="360" w:lineRule="auto"/>
        <w:jc w:val="both"/>
      </w:pPr>
      <w:r>
        <w:rPr>
          <w:rFonts w:ascii="Times New Roman" w:cs="Times New Roman" w:eastAsia="Times New Roman" w:hAnsi="Times New Roman"/>
          <w:sz w:val="22"/>
          <w:szCs w:val="22"/>
        </w:rPr>
        <w:t xml:space="preserve">Las comparaciones entre corpus se realizan con la prueba U de Mann-Whitney, no paramétrica, apropiada porque los indicadores no siguen distribución normal y el diseño es de muestras independientes. El estadístico U se aproxima a una normal para muestras grandes:</w:t>
      </w:r>
    </w:p>
    <w:p>
      <w:pPr>
        <w:spacing w:after="120" w:before="80"/>
        <w:jc w:val="center"/>
      </w:pPr>
      <w:r>
        <w:rPr>
          <w:rFonts w:ascii="Cambria Math" w:cs="Cambria Math" w:eastAsia="Cambria Math" w:hAnsi="Cambria Math"/>
          <w:i/>
          <w:iCs/>
          <w:sz w:val="24"/>
          <w:szCs w:val="24"/>
        </w:rPr>
        <w:t xml:space="preserve">Z = (U − μ_U) / σ_U,   μ_U = n₁n₂/2</w:t>
      </w:r>
    </w:p>
    <w:p>
      <w:pPr>
        <w:spacing w:after="160" w:line="360" w:lineRule="auto"/>
        <w:jc w:val="both"/>
      </w:pPr>
      <w:r>
        <w:rPr>
          <w:rFonts w:ascii="Times New Roman" w:cs="Times New Roman" w:eastAsia="Times New Roman" w:hAnsi="Times New Roman"/>
          <w:sz w:val="22"/>
          <w:szCs w:val="22"/>
        </w:rPr>
        <w:t>El tamaño del efecto se reporta como d de Cohen sobre el universo canónico (N_A=819, N_B=80). La elección de Mann-Whitney tiene una ventaja metodológica clave: al comparar rangos, es invariante ante cualquier normalización monótona, lo que permite verificar que los hallazgos no dependen del esquema de normalización (véase A.6.2).</w:t>
      </w:r>
    </w:p>
    <w:tbl>
      <w:tblPr>
        <w:tblW w:type="dxa" w:w="8720"/>
        <w:tblBorders>
          <w:top w:val="single" w:color="auto" w:sz="4"/>
          <w:left w:val="single" w:color="auto" w:sz="4"/>
          <w:bottom w:val="single" w:color="auto" w:sz="4"/>
          <w:right w:val="single" w:color="auto" w:sz="4"/>
          <w:insideH w:val="single" w:color="auto" w:sz="4"/>
          <w:insideV w:val="single" w:color="auto" w:sz="4"/>
        </w:tblBorders>
      </w:tblPr>
      <w:tblGrid>
        <w:gridCol w:w="2200"/>
        <w:gridCol w:w="1340"/>
        <w:gridCol w:w="1340"/>
        <w:gridCol w:w="1500"/>
        <w:gridCol w:w="1340"/>
        <w:gridCol w:w="1000"/>
      </w:tblGrid>
      <w:tr>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8"/>
                <w:szCs w:val="18"/>
              </w:rPr>
              <w:t xml:space="preserve">Indicador</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A</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B</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d Cohen</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p</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Sig.</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y₁₀ REP</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0.086</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0.153</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0.371</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&lt;0.001</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y₂ SA</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0.885</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0.873</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0.131</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0.934</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n.s.</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y₄ NV</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0.239</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0.233</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0.024</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0.028</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DIS</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0.514</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0.496</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0.092</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0.0688</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n.s.</w:t>
            </w:r>
          </w:p>
        </w:tc>
      </w:tr>
      <w:tr>
        <w:tc>
          <w:tcPr>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IEI</w:t>
            </w:r>
          </w:p>
        </w:tc>
        <w:tc>
          <w:tcPr>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0.507</w:t>
            </w:r>
          </w:p>
        </w:tc>
        <w:tc>
          <w:tcPr>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0.430</w:t>
            </w:r>
          </w:p>
        </w:tc>
        <w:tc>
          <w:tcPr>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w:t>
            </w:r>
          </w:p>
        </w:tc>
        <w:tc>
          <w:tcPr>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&lt;0.001</w:t>
            </w:r>
          </w:p>
        </w:tc>
        <w:tc>
          <w:tcPr>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w:t>
            </w:r>
          </w:p>
        </w:tc>
      </w:tr>
    </w:tbl>
    <w:p>
      <w:pPr>
        <w:spacing w:after="200" w:line="320"/>
        <w:jc w:val="both"/>
      </w:pPr>
      <w:r>
        <w:rPr>
          <w:rFonts w:ascii="Times New Roman" w:cs="Times New Roman" w:eastAsia="Times New Roman" w:hAnsi="Times New Roman"/>
          <w:i/>
          <w:iCs/>
          <w:sz w:val="18"/>
          <w:szCs w:val="18"/>
        </w:rPr>
        <w:t>Tabla A.9. Tamaños de efecto A vs B (N_B=80). Solo REP (entre indicadores) e IEI (entre índices) separan significativamente; el DIS agregado no.</w:t>
      </w:r>
    </w:p>
    <w:p>
      <w:pPr>
        <w:spacing w:after="160" w:line="360" w:lineRule="auto"/>
        <w:jc w:val="both"/>
      </w:pPr>
      <w:r>
        <w:rPr>
          <w:rFonts w:ascii="Times New Roman" w:cs="Times New Roman" w:eastAsia="Times New Roman" w:hAnsi="Times New Roman"/>
          <w:sz w:val="22"/>
          <w:szCs w:val="22"/>
        </w:rPr>
        <w:t>El poder estadístico para detectar un efecto d=0.30 con N_B=80 es aproximadamente 0.35 (insuficiente). Esta limitación afecta la comparación A vs B del DIS, pero no los resultados del Corpus C ni el IEI, cuyo efecto supera el umbral detectable. Se propone ampliar el Corpus B en trabajos futuros conforme se publiquen nuevos autos del Macrocaso 003.</w:t>
      </w:r>
    </w:p>
    <w:p>
      <w:r>
        <w:br w:type="page"/>
      </w:r>
    </w:p>
    <w:p>
      <w:pPr>
        <w:pStyle w:val="Heading1"/>
        <w:spacing w:after="160" w:before="280"/>
      </w:pPr>
      <w:r>
        <w:rPr>
          <w:rFonts w:ascii="Times New Roman" w:cs="Times New Roman" w:eastAsia="Times New Roman" w:hAnsi="Times New Roman"/>
          <w:b/>
          <w:bCs/>
          <w:sz w:val="30"/>
          <w:szCs w:val="30"/>
        </w:rPr>
        <w:t xml:space="preserve">A.10 Análisis de senderos y especificación SEM</w:t>
      </w:r>
    </w:p>
    <w:p>
      <w:pPr>
        <w:spacing w:after="160" w:line="360" w:lineRule="auto"/>
        <w:jc w:val="both"/>
      </w:pPr>
      <w:r>
        <w:rPr>
          <w:rFonts w:ascii="Times New Roman" w:cs="Times New Roman" w:eastAsia="Times New Roman" w:hAnsi="Times New Roman"/>
          <w:sz w:val="22"/>
          <w:szCs w:val="22"/>
        </w:rPr>
        <w:t>El predictor central de la transición epistémica es la distancia semántica al lenguaje de las víctimas (y₈, centroide MAFAPO): la regresión de la Ruptura Epistémica Positiva (y₁₀) sobre los indicadores de injusticia arroja un coeficiente negativo, robusto y consistente en dos universos independientes (β=−0.679 en Corpus C, p=0.047; β=−0.597 en el análisis tri-corpus, p&lt;0.001). El signo negativo indica que a mayor distancia del lenguaje de las víctimas, menor ruptura epistémica positiva. El antiguo indicador y₃ (distancia léxico-civil) fue descartado del pipeline definitivo por varianza insuficiente y por no ser calculable en el Corpus C oral.</w:t>
      </w:r>
    </w:p>
    <w:p>
      <w:pPr>
        <w:spacing w:after="120" w:before="80"/>
        <w:jc w:val="center"/>
      </w:pPr>
      <w:r>
        <w:rPr>
          <w:rFonts w:ascii="Cambria Math" w:cs="Cambria Math" w:eastAsia="Cambria Math" w:hAnsi="Cambria Math"/>
          <w:i/>
          <w:iCs/>
          <w:sz w:val="24"/>
          <w:szCs w:val="24"/>
        </w:rPr>
        <w:t xml:space="preserve">β = (XᵀX)⁻¹ Xᵀy</w:t>
      </w:r>
    </w:p>
    <w:p>
      <w:pPr>
        <w:spacing w:after="160" w:line="360" w:lineRule="auto"/>
        <w:jc w:val="both"/>
      </w:pPr>
      <w:r>
        <w:rPr>
          <w:rFonts w:ascii="Times New Roman" w:cs="Times New Roman" w:eastAsia="Times New Roman" w:hAnsi="Times New Roman"/>
          <w:sz w:val="22"/>
          <w:szCs w:val="22"/>
        </w:rPr>
        <w:t>Los índices de ajuste del modelo exploratorio (CFI=0.619, RMSEA=0.437, n=873) corresponden a un ajuste moderado, aceptable para análisis exploratorio pero no confirmatorio. El modelo SEM completo con variables latentes requiere el indicador y₇ (surprisal) para ser identificable; su estimación definitiva queda condicionada a la disponibilidad de CFH-BERT fine-tuned sobre el corpus anotado completo (partiendo del κ global sustancial de 0.722 alcanzado en dos rondas).</w:t>
      </w:r>
    </w:p>
    <w:p>
      <w:r>
        <w:br w:type="page"/>
      </w:r>
    </w:p>
    <w:p>
      <w:pPr>
        <w:pStyle w:val="Heading1"/>
        <w:spacing w:after="160" w:before="280"/>
      </w:pPr>
      <w:r>
        <w:rPr>
          <w:rFonts w:ascii="Times New Roman" w:cs="Times New Roman" w:eastAsia="Times New Roman" w:hAnsi="Times New Roman"/>
          <w:b/>
          <w:bCs/>
          <w:sz w:val="30"/>
          <w:szCs w:val="30"/>
        </w:rPr>
        <w:t xml:space="preserve">A.11 Indicadores Beach: registro léxico, verbos atributivos y evidenciales (y₁₁–y₁₃)</w:t>
      </w:r>
    </w:p>
    <w:p>
      <w:pPr>
        <w:spacing w:after="160" w:line="360" w:lineRule="auto"/>
        <w:jc w:val="both"/>
      </w:pPr>
      <w:r>
        <w:rPr>
          <w:rFonts w:ascii="Times New Roman" w:cs="Times New Roman" w:eastAsia="Times New Roman" w:hAnsi="Times New Roman"/>
          <w:sz w:val="22"/>
          <w:szCs w:val="22"/>
        </w:rPr>
        <w:t xml:space="preserve">Los indicadores de Beach et al. (2021), adaptados al español jurídico, operacionalizan la injusticia testimonial a nivel léxico-sintáctico. El más robusto es y₁₂ (verbos atributivos de baja credibilidad: «alegó», «adujo», «supuestamente»): A=0.270 frente a B=0.058, una razón de 4,6× mayor en la justicia ordinaria (p&lt;0.001). Para el Corpus C oral, y₁₁ se operacionaliza como proporción de léxico MAFAPO frente a militar, sobre dos lexicones construidos (340 términos del campo de las víctimas, 218 del campo militar).</w:t>
      </w:r>
    </w:p>
    <w:p>
      <w:pPr>
        <w:spacing w:after="160" w:line="360" w:lineRule="auto"/>
        <w:jc w:val="both"/>
      </w:pPr>
      <w:r>
        <w:rPr>
          <w:rFonts w:ascii="Times New Roman" w:cs="Times New Roman" w:eastAsia="Times New Roman" w:hAnsi="Times New Roman"/>
          <w:sz w:val="22"/>
          <w:szCs w:val="22"/>
        </w:rPr>
        <w:t xml:space="preserve">El hallazgo más sofisticado de y₁₁ es la disociación léxico-semántica de Catatumbo: prop_MAFAPO=0.736 (segundo más alto, usa el vocabulario de las víctimas en superficie) pero y₈=0.207 (el más distante semánticamente). El Capitán Chaparro adopta las palabras de las víctimas sin adoptar su estructura semántica profunda.</w:t>
      </w:r>
    </w:p>
    <w:p>
      <w:r>
        <w:br w:type="page"/>
      </w:r>
    </w:p>
    <w:p>
      <w:pPr>
        <w:pStyle w:val="Heading1"/>
        <w:spacing w:after="160" w:before="280"/>
      </w:pPr>
      <w:r>
        <w:rPr>
          <w:rFonts w:ascii="Times New Roman" w:cs="Times New Roman" w:eastAsia="Times New Roman" w:hAnsi="Times New Roman"/>
          <w:b/>
          <w:bCs/>
          <w:sz w:val="30"/>
          <w:szCs w:val="30"/>
        </w:rPr>
        <w:t xml:space="preserve">A.12 Protocolo experimental: CFH-BERT v3</w:t>
      </w:r>
    </w:p>
    <w:p>
      <w:pPr>
        <w:spacing w:after="160" w:line="360" w:lineRule="auto"/>
        <w:jc w:val="both"/>
      </w:pPr>
      <w:r>
        <w:rPr>
          <w:rFonts w:ascii="Times New Roman" w:cs="Times New Roman" w:eastAsia="Times New Roman" w:hAnsi="Times New Roman"/>
          <w:sz w:val="22"/>
          <w:szCs w:val="22"/>
        </w:rPr>
        <w:t xml:space="preserve">La versión v3 del clasificador busca elevar el F1 macro desde 0.58 (v2) hasta ≥0.70 (meta de defensa) y ≥0.85 (meta de uso institucional). El protocolo contempla ocho experimentos sobre el desbalance de clases y la escasez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4560"/>
      </w:tblGrid>
      <w:tr>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8"/>
                <w:szCs w:val="18"/>
              </w:rPr>
              <w:t xml:space="preserve">Experimento</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8"/>
                <w:szCs w:val="18"/>
              </w:rPr>
              <w:t xml:space="preserve">Objetivo</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1</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NV boost (sobremuestreo 25×)</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Compensar la escasez extrema de NV</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2</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Aumentación por sinónimos</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Ampliar la variedad léxica de clases minoritarias</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3</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Back-translation</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Generar paráfrasis vía traducción ida-vuelta</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4</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Paráfrasis por LLM</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Aumentar datos preservando la etiqueta</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5</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Focal Loss (γ=2)</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Enfocar el aprendizaje en ejemplos difíciles</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6</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Ajuste de umbral</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Optimizar el punto de decisión por clase</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7</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Modelo combinado</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Integrar las mejores estrategias</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8</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Evaluación final</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Validar F1 sobre conjunto de prueba retenido</w:t>
            </w:r>
          </w:p>
        </w:tc>
      </w:tr>
    </w:tbl>
    <w:p>
      <w:pPr>
        <w:spacing w:after="200" w:line="320"/>
        <w:jc w:val="both"/>
      </w:pPr>
      <w:r>
        <w:rPr>
          <w:rFonts w:ascii="Times New Roman" w:cs="Times New Roman" w:eastAsia="Times New Roman" w:hAnsi="Times New Roman"/>
          <w:i/>
          <w:iCs/>
          <w:sz w:val="18"/>
          <w:szCs w:val="18"/>
        </w:rPr>
        <w:t xml:space="preserve">Tabla A.10. Protocolo de ocho experimentos para CFH-BERT v3. La meta de defensa es F1 macro ≥ 0.70.</w:t>
      </w:r>
    </w:p>
    <w:p>
      <w:pPr>
        <w:spacing w:after="160" w:line="360" w:lineRule="auto"/>
        <w:jc w:val="both"/>
      </w:pPr>
      <w:r>
        <w:rPr>
          <w:rFonts w:ascii="Times New Roman" w:cs="Times New Roman" w:eastAsia="Times New Roman" w:hAnsi="Times New Roman"/>
          <w:sz w:val="22"/>
          <w:szCs w:val="22"/>
        </w:rPr>
        <w:t xml:space="preserve">La función Focal Loss del experimento 5 generaliza la entropía cruzada ponderada añadiendo un factor que reduce el peso de los ejemplos bien clasificados:</w:t>
      </w:r>
    </w:p>
    <w:p>
      <w:pPr>
        <w:spacing w:after="120" w:before="80"/>
        <w:jc w:val="center"/>
      </w:pPr>
      <w:r>
        <w:rPr>
          <w:rFonts w:ascii="Cambria Math" w:cs="Cambria Math" w:eastAsia="Cambria Math" w:hAnsi="Cambria Math"/>
          <w:i/>
          <w:iCs/>
          <w:sz w:val="24"/>
          <w:szCs w:val="24"/>
        </w:rPr>
        <w:t xml:space="preserve">FL(p_t) = −α_t (1 − p_t)^γ log(p_t),   γ = 2</w:t>
      </w:r>
    </w:p>
    <w:p>
      <w:r>
        <w:br w:type="page"/>
      </w:r>
    </w:p>
    <w:p>
      <w:pPr>
        <w:pStyle w:val="Heading1"/>
        <w:spacing w:after="160" w:before="280"/>
      </w:pPr>
      <w:r>
        <w:rPr>
          <w:rFonts w:ascii="Times New Roman" w:cs="Times New Roman" w:eastAsia="Times New Roman" w:hAnsi="Times New Roman"/>
          <w:b/>
          <w:bCs/>
          <w:sz w:val="30"/>
          <w:szCs w:val="30"/>
        </w:rPr>
        <w:t xml:space="preserve">A.13 Síntesis cuantitativa</w:t>
      </w:r>
    </w:p>
    <w:p>
      <w:pPr>
        <w:spacing w:after="160" w:line="360" w:lineRule="auto"/>
        <w:jc w:val="both"/>
      </w:pPr>
      <w:r>
        <w:rPr>
          <w:rFonts w:ascii="Times New Roman" w:cs="Times New Roman" w:eastAsia="Times New Roman" w:hAnsi="Times New Roman"/>
          <w:sz w:val="22"/>
          <w:szCs w:val="22"/>
        </w:rPr>
        <w:t>Los hallazgos verificados del framework CFH, sobre los corpus canónicos (N_A=819, N_B=80, Corpus C de 588 bloques), se resumen así:</w:t>
      </w:r>
    </w:p>
    <w:p>
      <w:pPr>
        <w:spacing w:after="160" w:line="360" w:lineRule="auto"/>
        <w:jc w:val="both"/>
      </w:pPr>
      <w:r>
        <w:rPr>
          <w:rFonts w:ascii="Times New Roman" w:cs="Times New Roman" w:eastAsia="Times New Roman" w:hAnsi="Times New Roman"/>
          <w:b/>
          <w:bCs/>
          <w:sz w:val="22"/>
          <w:szCs w:val="22"/>
        </w:rPr>
        <w:t xml:space="preserve">(1) </w:t>
      </w:r>
      <w:r>
        <w:rPr>
          <w:rFonts w:ascii="Times New Roman" w:cs="Times New Roman" w:eastAsia="Times New Roman" w:hAnsi="Times New Roman"/>
          <w:sz w:val="22"/>
          <w:szCs w:val="22"/>
        </w:rPr>
        <w:t xml:space="preserve">El REP (y₁₀) es el único indicador con efecto sustantivo y significativo en la comparación A vs B (d=0.371, p&lt;0.001); la transición discursiva se manifiesta en el reconocimiento, no en la reducción del encubrimiento.</w:t>
      </w:r>
    </w:p>
    <w:p>
      <w:pPr>
        <w:spacing w:after="160" w:line="360" w:lineRule="auto"/>
        <w:jc w:val="both"/>
      </w:pPr>
      <w:r>
        <w:rPr>
          <w:rFonts w:ascii="Times New Roman" w:cs="Times New Roman" w:eastAsia="Times New Roman" w:hAnsi="Times New Roman"/>
          <w:b/>
          <w:bCs/>
          <w:sz w:val="22"/>
          <w:szCs w:val="22"/>
        </w:rPr>
        <w:t>(2) El DIS agregado no distingue A de B (p=0.0688 n.s.), por dilución de la señal discriminante (REP) con la supresión de agentividad, que es transversal al género jurídico. Esta no-diferencia es robusta a tres esquemas de normalización, incluido el cálculo sobre indicadores crudos.</w:t>
      </w:r>
      <w:r>
        <w:rPr>
          <w:rFonts w:ascii="Times New Roman" w:cs="Times New Roman" w:eastAsia="Times New Roman" w:hAnsi="Times New Roman"/>
          <w:sz w:val="22"/>
          <w:szCs w:val="22"/>
        </w:rPr>
      </w:r>
    </w:p>
    <w:p>
      <w:pPr>
        <w:spacing w:after="160" w:line="360" w:lineRule="auto"/>
        <w:jc w:val="both"/>
      </w:pPr>
      <w:r>
        <w:rPr>
          <w:rFonts w:ascii="Times New Roman" w:cs="Times New Roman" w:eastAsia="Times New Roman" w:hAnsi="Times New Roman"/>
          <w:b/>
          <w:bCs/>
          <w:sz w:val="22"/>
          <w:szCs w:val="22"/>
        </w:rPr>
        <w:t xml:space="preserve">(3) </w:t>
      </w:r>
      <w:r>
        <w:rPr>
          <w:rFonts w:ascii="Times New Roman" w:cs="Times New Roman" w:eastAsia="Times New Roman" w:hAnsi="Times New Roman"/>
          <w:sz w:val="22"/>
          <w:szCs w:val="22"/>
        </w:rPr>
        <w:t xml:space="preserve">El IEI sí distingue A de B (p&lt;0.001): la injusticia epistémica, no la discursiva agregada, es la signatura medible de la transición.</w:t>
      </w:r>
    </w:p>
    <w:p>
      <w:pPr>
        <w:spacing w:after="160" w:line="360" w:lineRule="auto"/>
        <w:jc w:val="both"/>
      </w:pPr>
      <w:r>
        <w:rPr>
          <w:rFonts w:ascii="Times New Roman" w:cs="Times New Roman" w:eastAsia="Times New Roman" w:hAnsi="Times New Roman"/>
          <w:b/>
          <w:bCs/>
          <w:sz w:val="22"/>
          <w:szCs w:val="22"/>
        </w:rPr>
        <w:t xml:space="preserve">(4) </w:t>
      </w:r>
      <w:r>
        <w:rPr>
          <w:rFonts w:ascii="Times New Roman" w:cs="Times New Roman" w:eastAsia="Times New Roman" w:hAnsi="Times New Roman"/>
          <w:sz w:val="22"/>
          <w:szCs w:val="22"/>
        </w:rPr>
        <w:t xml:space="preserve">La distancia semántica al lenguaje de las víctimas (y₈, y₉) constituye una brecha estructural que resiste el control temporal.</w:t>
      </w:r>
    </w:p>
    <w:p>
      <w:pPr>
        <w:spacing w:after="160" w:line="360" w:lineRule="auto"/>
        <w:jc w:val="both"/>
      </w:pPr>
      <w:r>
        <w:rPr>
          <w:rFonts w:ascii="Times New Roman" w:cs="Times New Roman" w:eastAsia="Times New Roman" w:hAnsi="Times New Roman"/>
          <w:b/>
          <w:bCs/>
          <w:sz w:val="22"/>
          <w:szCs w:val="22"/>
        </w:rPr>
        <w:t>(5) La disociación DIS–IEI: los dos índices miden dimensiones independientes (correlación empírica baja). En el análisis por subcaso del Corpus C, el único perfil donde la injusticia epistémica supera a la discursiva (IEI&gt;DIS) es Casanare, con la cautela que impone tratarse de un único compareciente. La independencia de ambas dimensiones —no un caso individual— es el hallazgo sustantivo.</w:t>
      </w:r>
      <w:r>
        <w:rPr>
          <w:rFonts w:ascii="Times New Roman" w:cs="Times New Roman" w:eastAsia="Times New Roman" w:hAnsi="Times New Roman"/>
          <w:sz w:val="22"/>
          <w:szCs w:val="22"/>
        </w:rPr>
      </w:r>
    </w:p>
    <w:p>
      <w:pPr>
        <w:spacing w:after="160" w:line="360" w:lineRule="auto"/>
        <w:jc w:val="both"/>
      </w:pPr>
      <w:r>
        <w:rPr>
          <w:rFonts w:ascii="Times New Roman" w:cs="Times New Roman" w:eastAsia="Times New Roman" w:hAnsi="Times New Roman"/>
          <w:b/>
          <w:bCs/>
          <w:sz w:val="22"/>
          <w:szCs w:val="22"/>
        </w:rPr>
        <w:t xml:space="preserve">(6) </w:t>
      </w:r>
      <w:r>
        <w:rPr>
          <w:rFonts w:ascii="Times New Roman" w:cs="Times New Roman" w:eastAsia="Times New Roman" w:hAnsi="Times New Roman"/>
          <w:sz w:val="22"/>
          <w:szCs w:val="22"/>
        </w:rPr>
        <w:t xml:space="preserve">El CFH-BERT v2 alcanza F1 macro=0.58 (+0.31 sobre v1), con la mayor mejora en NV (+0.28) por la pérdida ponderada.</w:t>
      </w:r>
    </w:p>
    <w:p>
      <w:pPr>
        <w:spacing w:after="240" w:line="360" w:lineRule="auto"/>
        <w:jc w:val="both"/>
      </w:pPr>
      <w:r>
        <w:rPr>
          <w:rFonts w:ascii="Times New Roman" w:cs="Times New Roman" w:eastAsia="Times New Roman" w:hAnsi="Times New Roman"/>
          <w:sz w:val="22"/>
          <w:szCs w:val="22"/>
        </w:rPr>
        <w:t xml:space="preserve">Estos resultados son reproducibles a partir de los scripts del repositorio sobre los corpus canónicos declarados. La trazabilidad completa —datos, código y valores— garantiza la verificabilidad de cada cifra reportada en los capítulos 5 y 6.</w:t>
      </w:r>
    </w:p>
    <w:p>
      <w:r>
        <w:br w:type="page"/>
      </w:r>
    </w:p>
    <w:p>
      <w:pPr>
        <w:spacing w:after="60" w:before="240"/>
        <w:jc w:val="center"/>
      </w:pPr>
      <w:r>
        <w:rPr>
          <w:rFonts w:ascii="Arial" w:cs="Arial" w:eastAsia="Arial" w:hAnsi="Arial"/>
          <w:i/>
          <w:iCs/>
          <w:color w:val="1F4E79"/>
          <w:sz w:val="22"/>
          <w:szCs w:val="22"/>
        </w:rPr>
        <w:t xml:space="preserve">El lenguaje de los falsos positivos</w:t>
      </w:r>
    </w:p>
    <w:p>
      <w:pPr>
        <w:pStyle w:val="Heading1"/>
        <w:spacing w:after="80"/>
        <w:jc w:val="center"/>
      </w:pPr>
      <w:r>
        <w:rPr>
          <w:rFonts w:ascii="Arial" w:cs="Arial" w:eastAsia="Arial" w:hAnsi="Arial"/>
          <w:b/>
          <w:bCs/>
          <w:color w:val="1F4E79"/>
          <w:sz w:val="32"/>
          <w:szCs w:val="32"/>
        </w:rPr>
        <w:t xml:space="preserve">Referencias</w:t>
      </w:r>
    </w:p>
    <w:p>
      <w:pPr>
        <w:spacing w:after="280"/>
        <w:jc w:val="center"/>
      </w:pPr>
      <w:r>
        <w:rPr>
          <w:rFonts w:ascii="Arial" w:cs="Arial" w:eastAsia="Arial" w:hAnsi="Arial"/>
          <w:color w:val="666666"/>
          <w:sz w:val="20"/>
          <w:szCs w:val="20"/>
        </w:rPr>
        <w:t xml:space="preserve">Bibliografía consolidada de la tesis · formato APA 7 · 76 referencias</w:t>
      </w:r>
    </w:p>
    <w:p>
      <w:pPr>
        <w:spacing w:after="140" w:line="300"/>
        <w:ind w:left="567" w:hanging="567"/>
        <w:jc w:val="both"/>
      </w:pPr>
      <w:r>
        <w:rPr>
          <w:rFonts w:ascii="Arial" w:cs="Arial" w:eastAsia="Arial" w:hAnsi="Arial"/>
          <w:sz w:val="21"/>
          <w:szCs w:val="21"/>
        </w:rPr>
        <w:t>Andrews, N., Baker, N., Chintapally, A., et al. (2023). Intersectionality and testimonial injustice in medical records. Proceedings of the 5th Clinical NLP Workshop, ACL 2023, 358–370.</w:t>
      </w:r>
      <w:r>
        <w:rPr>
          <w:rFonts w:ascii="Arial" w:cs="Arial" w:eastAsia="Arial" w:hAnsi="Arial"/>
          <w:color w:val="2A6099"/>
          <w:sz w:val="21"/>
          <w:szCs w:val="21"/>
        </w:rPr>
      </w:r>
    </w:p>
    <w:p>
      <w:pPr>
        <w:spacing w:after="140" w:line="300"/>
        <w:ind w:left="567" w:hanging="567"/>
        <w:jc w:val="both"/>
      </w:pPr>
      <w:r>
        <w:rPr>
          <w:rFonts w:ascii="Arial" w:cs="Arial" w:eastAsia="Arial" w:hAnsi="Arial"/>
          <w:sz w:val="21"/>
          <w:szCs w:val="21"/>
        </w:rPr>
        <w:t xml:space="preserve">Antoniak, M., Mimno, D., y Howe, J. (2023). Riveter: Measuring power and social dynamics between entities. Proceedings of ACL 2023: System Demonstrations, 377–388. </w:t>
      </w:r>
      <w:r>
        <w:rPr>
          <w:rFonts w:ascii="Arial" w:cs="Arial" w:eastAsia="Arial" w:hAnsi="Arial"/>
          <w:color w:val="2A6099"/>
          <w:sz w:val="21"/>
          <w:szCs w:val="21"/>
        </w:rPr>
        <w:t xml:space="preserve">https://doi.org/10.18653/v1/2023.acl-demo.36</w:t>
      </w:r>
    </w:p>
    <w:p>
      <w:pPr>
        <w:spacing w:after="140" w:line="300"/>
        <w:ind w:left="567" w:hanging="567"/>
        <w:jc w:val="both"/>
      </w:pPr>
      <w:r>
        <w:rPr>
          <w:rFonts w:ascii="Arial" w:cs="Arial" w:eastAsia="Arial" w:hAnsi="Arial"/>
          <w:sz w:val="21"/>
          <w:szCs w:val="21"/>
        </w:rPr>
        <w:t xml:space="preserve">Austin, J. L. (1962). How to do things with words. Oxford University Press.</w:t>
      </w:r>
    </w:p>
    <w:p>
      <w:pPr>
        <w:spacing w:after="140" w:line="300"/>
        <w:ind w:left="567" w:hanging="567"/>
        <w:jc w:val="both"/>
      </w:pPr>
      <w:r>
        <w:rPr>
          <w:rFonts w:ascii="Arial" w:cs="Arial" w:eastAsia="Arial" w:hAnsi="Arial"/>
          <w:sz w:val="21"/>
          <w:szCs w:val="21"/>
        </w:rPr>
        <w:t xml:space="preserve">Baird, A., y Coutinho, E. (2019). Sincerity in acted speech: The Sincere Apology Corpus (SinA-C). Proceedings of INTERSPEECH 2019, 1851–1855. </w:t>
      </w:r>
      <w:r>
        <w:rPr>
          <w:rFonts w:ascii="Arial" w:cs="Arial" w:eastAsia="Arial" w:hAnsi="Arial"/>
          <w:color w:val="2A6099"/>
          <w:sz w:val="21"/>
          <w:szCs w:val="21"/>
        </w:rPr>
        <w:t xml:space="preserve">https://doi.org/10.21437/Interspeech.2019-3072</w:t>
      </w:r>
    </w:p>
    <w:p>
      <w:pPr>
        <w:spacing w:after="140" w:line="300"/>
        <w:ind w:left="567" w:hanging="567"/>
        <w:jc w:val="both"/>
      </w:pPr>
      <w:r>
        <w:rPr>
          <w:rFonts w:ascii="Arial" w:cs="Arial" w:eastAsia="Arial" w:hAnsi="Arial"/>
          <w:sz w:val="21"/>
          <w:szCs w:val="21"/>
        </w:rPr>
        <w:t xml:space="preserve">Barrett, L. F., Adolphs, R., Marsella, S., Martinez, A. M., y Pollak, S. D. (2019). Emotional expressions reconsidered: Challenges to inferring emotion from human facial movements. Psychological Science in the Public Interest, 20(1), 1–68. </w:t>
      </w:r>
      <w:r>
        <w:rPr>
          <w:rFonts w:ascii="Arial" w:cs="Arial" w:eastAsia="Arial" w:hAnsi="Arial"/>
          <w:color w:val="2A6099"/>
          <w:sz w:val="21"/>
          <w:szCs w:val="21"/>
        </w:rPr>
        <w:t xml:space="preserve">https://doi.org/10.1177/1529100619832930</w:t>
      </w:r>
    </w:p>
    <w:p>
      <w:pPr>
        <w:spacing w:after="140" w:line="300"/>
        <w:ind w:left="567" w:hanging="567"/>
        <w:jc w:val="both"/>
      </w:pPr>
      <w:r>
        <w:rPr>
          <w:rFonts w:ascii="Arial" w:cs="Arial" w:eastAsia="Arial" w:hAnsi="Arial"/>
          <w:sz w:val="21"/>
          <w:szCs w:val="21"/>
        </w:rPr>
        <w:t>Beach, M. C., Saha, S., Park, J., Taylor, J., Drew, P., Plank, E., Korthuis, P. T., y Chander, G. (2021). Testimonial injustice: Linguistic bias in the medical records of Black patients and women. Journal of General Internal Medicine, 36(6), 1708–1714.</w:t>
      </w:r>
      <w:r>
        <w:rPr>
          <w:rFonts w:ascii="Arial" w:cs="Arial" w:eastAsia="Arial" w:hAnsi="Arial"/>
          <w:color w:val="2A6099"/>
          <w:sz w:val="21"/>
          <w:szCs w:val="21"/>
        </w:rPr>
      </w:r>
    </w:p>
    <w:p>
      <w:pPr>
        <w:spacing w:after="140" w:line="300"/>
        <w:ind w:left="567" w:hanging="567"/>
        <w:jc w:val="both"/>
      </w:pPr>
      <w:r>
        <w:rPr>
          <w:rFonts w:ascii="Arial" w:cs="Arial" w:eastAsia="Arial" w:hAnsi="Arial"/>
          <w:sz w:val="21"/>
          <w:szCs w:val="21"/>
        </w:rPr>
        <w:t xml:space="preserve">Bhatia, V. K. (1993). Analysing genre: Language use in professional settings. Longman.</w:t>
      </w:r>
    </w:p>
    <w:p>
      <w:pPr>
        <w:spacing w:after="140" w:line="300"/>
        <w:ind w:left="567" w:hanging="567"/>
        <w:jc w:val="both"/>
      </w:pPr>
      <w:r>
        <w:rPr>
          <w:rFonts w:ascii="Arial" w:cs="Arial" w:eastAsia="Arial" w:hAnsi="Arial"/>
          <w:sz w:val="21"/>
          <w:szCs w:val="21"/>
        </w:rPr>
        <w:t xml:space="preserve">Boaventura de Sousa Santos, B. (2009). Una epistemología del Sur: La reinvención del conocimiento y la emancipación social. CLACSO / Siglo XXI.</w:t>
      </w:r>
    </w:p>
    <w:p>
      <w:pPr>
        <w:spacing w:after="140" w:line="300"/>
        <w:ind w:left="567" w:hanging="567"/>
        <w:jc w:val="both"/>
      </w:pPr>
      <w:r>
        <w:rPr>
          <w:rFonts w:ascii="Arial" w:cs="Arial" w:eastAsia="Arial" w:hAnsi="Arial"/>
          <w:sz w:val="21"/>
          <w:szCs w:val="21"/>
        </w:rPr>
        <w:t xml:space="preserve">Braithwaite, J. (2002). Restorative justice and responsive regulation. Oxford University Press.</w:t>
      </w:r>
    </w:p>
    <w:p>
      <w:pPr>
        <w:spacing w:after="140" w:line="300"/>
        <w:ind w:left="567" w:hanging="567"/>
        <w:jc w:val="both"/>
      </w:pPr>
      <w:r>
        <w:rPr>
          <w:rFonts w:ascii="Arial" w:cs="Arial" w:eastAsia="Arial" w:hAnsi="Arial"/>
          <w:sz w:val="21"/>
          <w:szCs w:val="21"/>
        </w:rPr>
        <w:t xml:space="preserve">Bredin, H., Yin, R., Coria, J. M., Gelly, G., Korshunov, P., Lavechin, M., Fustes, D., Titeux, H., Bouaziz, W., y Gill, M.-P. (2020). pyannote.audio: Neural building blocks for speaker diarization. Proceedings of ICASSP 2020, 7124–7128. </w:t>
      </w:r>
      <w:r>
        <w:rPr>
          <w:rFonts w:ascii="Arial" w:cs="Arial" w:eastAsia="Arial" w:hAnsi="Arial"/>
          <w:color w:val="2A6099"/>
          <w:sz w:val="21"/>
          <w:szCs w:val="21"/>
        </w:rPr>
        <w:t xml:space="preserve">https://doi.org/10.1109/ICASSP40776.2020.9052974</w:t>
      </w:r>
    </w:p>
    <w:p>
      <w:pPr>
        <w:spacing w:after="140" w:line="300"/>
        <w:ind w:left="567" w:hanging="567"/>
        <w:jc w:val="both"/>
      </w:pPr>
      <w:r>
        <w:rPr>
          <w:rFonts w:ascii="Arial" w:cs="Arial" w:eastAsia="Arial" w:hAnsi="Arial"/>
          <w:sz w:val="21"/>
          <w:szCs w:val="21"/>
        </w:rPr>
        <w:t xml:space="preserve">Buolamwini, J., y Gebru, T. (2018). Gender shades: Intersectional accuracy disparities in commercial gender classification. Proceedings of Machine Learning Research, 81, 1–15.</w:t>
      </w:r>
    </w:p>
    <w:p>
      <w:pPr>
        <w:spacing w:after="140" w:line="300"/>
        <w:ind w:left="567" w:hanging="567"/>
        <w:jc w:val="both"/>
      </w:pPr>
      <w:r>
        <w:rPr>
          <w:rFonts w:ascii="Arial" w:cs="Arial" w:eastAsia="Arial" w:hAnsi="Arial"/>
          <w:sz w:val="21"/>
          <w:szCs w:val="21"/>
        </w:rPr>
        <w:t xml:space="preserve">Camara, M. K., Postal, A., Maul, T. H., y Paetzold, G. H. (2024). Can lies be faked? Comparing low-stakes and high-stakes deception video datasets from a Machine Learning perspective. Expert Systems with Applications, 249, 123684. </w:t>
      </w:r>
      <w:r>
        <w:rPr>
          <w:rFonts w:ascii="Arial" w:cs="Arial" w:eastAsia="Arial" w:hAnsi="Arial"/>
          <w:color w:val="2A6099"/>
          <w:sz w:val="21"/>
          <w:szCs w:val="21"/>
        </w:rPr>
        <w:t xml:space="preserve">https://doi.org/10.1016/j.eswa.2024.123684</w:t>
      </w:r>
    </w:p>
    <w:p>
      <w:pPr>
        <w:spacing w:after="140" w:line="300"/>
        <w:ind w:left="567" w:hanging="567"/>
        <w:jc w:val="both"/>
      </w:pPr>
      <w:r>
        <w:rPr>
          <w:rFonts w:ascii="Arial" w:cs="Arial" w:eastAsia="Arial" w:hAnsi="Arial"/>
          <w:sz w:val="21"/>
          <w:szCs w:val="21"/>
        </w:rPr>
        <w:t xml:space="preserve">Cañete, J., Chaperon, G., Fuentes, R., Ho, J.-H., Kang, H., y Pérez, J. (2020). Spanish pre-trained BERT model and evaluation data. PML4DC Workshop at ICLR 2020.</w:t>
      </w:r>
    </w:p>
    <w:p>
      <w:pPr>
        <w:spacing w:after="140" w:line="300"/>
        <w:ind w:left="567" w:hanging="567"/>
        <w:jc w:val="both"/>
      </w:pPr>
      <w:r>
        <w:rPr>
          <w:rFonts w:ascii="Arial" w:cs="Arial" w:eastAsia="Arial" w:hAnsi="Arial"/>
          <w:sz w:val="21"/>
          <w:szCs w:val="21"/>
        </w:rPr>
        <w:t xml:space="preserve">Cann, T., et al. (2025). Semantic echo: Measuring convergence of strategic communications toward a reference corpus. EPJ Data Science. (En prensa).</w:t>
      </w:r>
    </w:p>
    <w:p>
      <w:pPr>
        <w:spacing w:after="140" w:line="300"/>
        <w:ind w:left="567" w:hanging="567"/>
        <w:jc w:val="both"/>
      </w:pPr>
      <w:r>
        <w:rPr>
          <w:rFonts w:ascii="Arial" w:cs="Arial" w:eastAsia="Arial" w:hAnsi="Arial"/>
          <w:sz w:val="21"/>
          <w:szCs w:val="21"/>
        </w:rPr>
        <w:t xml:space="preserve">Castillejo-Cuéllar, A. (2016). Poética de lo otro: Para una antropología de la guerra, la soledad y el exilio interno en Colombia. Universidad de los Andes.</w:t>
      </w:r>
    </w:p>
    <w:p>
      <w:pPr>
        <w:spacing w:after="140" w:line="300"/>
        <w:ind w:left="567" w:hanging="567"/>
        <w:jc w:val="both"/>
      </w:pPr>
      <w:r>
        <w:rPr>
          <w:rFonts w:ascii="Arial" w:cs="Arial" w:eastAsia="Arial" w:hAnsi="Arial"/>
          <w:sz w:val="21"/>
          <w:szCs w:val="21"/>
        </w:rPr>
        <w:t>Cohen, J. (1988). Statistical power analysis for the behavioral sciences (2.ª ed.). Lawrence Erlbaum Associates.</w:t>
      </w:r>
    </w:p>
    <w:p>
      <w:pPr>
        <w:spacing w:after="140" w:line="300"/>
        <w:ind w:left="567" w:hanging="567"/>
        <w:jc w:val="both"/>
      </w:pPr>
      <w:r>
        <w:rPr>
          <w:rFonts w:ascii="Arial" w:cs="Arial" w:eastAsia="Arial" w:hAnsi="Arial"/>
          <w:sz w:val="21"/>
          <w:szCs w:val="21"/>
        </w:rPr>
        <w:t>Colombia, Presidencia de la República. (2019). Directiva Presidencial 007 de 2019: Lineamientos para el uso de tecnologías de la información. Bogotá: Presidencia de la República.</w:t>
      </w:r>
    </w:p>
    <w:p>
      <w:pPr>
        <w:spacing w:after="140" w:line="300"/>
        <w:ind w:left="567" w:hanging="567"/>
        <w:jc w:val="both"/>
      </w:pPr>
      <w:r>
        <w:rPr>
          <w:rFonts w:ascii="Arial" w:cs="Arial" w:eastAsia="Arial" w:hAnsi="Arial"/>
          <w:sz w:val="21"/>
          <w:szCs w:val="21"/>
        </w:rPr>
        <w:t>Consejo Nacional de Política Económica y Social. (2019). CONPES 3975: Política nacional para la transformación digital e inteligencia artificial. Bogotá: DNP.</w:t>
      </w:r>
    </w:p>
    <w:p>
      <w:pPr>
        <w:spacing w:after="140" w:line="300"/>
        <w:ind w:left="567" w:hanging="567"/>
        <w:jc w:val="both"/>
      </w:pPr>
      <w:r>
        <w:rPr>
          <w:rFonts w:ascii="Arial" w:cs="Arial" w:eastAsia="Arial" w:hAnsi="Arial"/>
          <w:sz w:val="21"/>
          <w:szCs w:val="21"/>
        </w:rPr>
        <w:t xml:space="preserve">Cepeda Castro, I., y Rojas, J. (2008). A las puertas de El Ubérrimo. Debate.</w:t>
      </w:r>
    </w:p>
    <w:p>
      <w:pPr>
        <w:spacing w:after="140" w:line="300"/>
        <w:ind w:left="567" w:hanging="567"/>
        <w:jc w:val="both"/>
      </w:pPr>
      <w:r>
        <w:rPr>
          <w:rFonts w:ascii="Arial" w:cs="Arial" w:eastAsia="Arial" w:hAnsi="Arial"/>
          <w:sz w:val="21"/>
          <w:szCs w:val="21"/>
        </w:rPr>
        <w:t xml:space="preserve">CINEP/Programa por la Paz. (2020). Banco de datos de derechos humanos y violencia política. Centro de Investigación y Educación Popular.</w:t>
      </w:r>
    </w:p>
    <w:p>
      <w:pPr>
        <w:spacing w:after="140" w:line="300"/>
        <w:ind w:left="567" w:hanging="567"/>
        <w:jc w:val="both"/>
      </w:pPr>
      <w:r>
        <w:rPr>
          <w:rFonts w:ascii="Arial" w:cs="Arial" w:eastAsia="Arial" w:hAnsi="Arial"/>
          <w:sz w:val="21"/>
          <w:szCs w:val="21"/>
        </w:rPr>
        <w:t xml:space="preserve">Clark, P. (2010). The Gacaca courts, post-genocide justice and reconciliation in Rwanda. Cambridge University Press.</w:t>
      </w:r>
    </w:p>
    <w:p>
      <w:pPr>
        <w:spacing w:after="140" w:line="300"/>
        <w:ind w:left="567" w:hanging="567"/>
        <w:jc w:val="both"/>
      </w:pPr>
      <w:r>
        <w:rPr>
          <w:rFonts w:ascii="Arial" w:cs="Arial" w:eastAsia="Arial" w:hAnsi="Arial"/>
          <w:sz w:val="21"/>
          <w:szCs w:val="21"/>
        </w:rPr>
        <w:t xml:space="preserve">CNMH — Centro Nacional de Memoria Histórica. (2019). Mujeres y madres: Memorias de los falsos positivos. CNMH.</w:t>
      </w:r>
    </w:p>
    <w:p>
      <w:pPr>
        <w:spacing w:after="140" w:line="300"/>
        <w:ind w:left="567" w:hanging="567"/>
        <w:jc w:val="both"/>
      </w:pPr>
      <w:r>
        <w:rPr>
          <w:rFonts w:ascii="Arial" w:cs="Arial" w:eastAsia="Arial" w:hAnsi="Arial"/>
          <w:sz w:val="21"/>
          <w:szCs w:val="21"/>
        </w:rPr>
        <w:t xml:space="preserve">Comisión de la Verdad. (2022). Hay futuro si hay verdad: Informe final. Comisión para el Esclarecimiento de la Verdad, la Convivencia y la No Repetición.</w:t>
      </w:r>
    </w:p>
    <w:p>
      <w:pPr>
        <w:spacing w:after="140" w:line="300"/>
        <w:ind w:left="567" w:hanging="567"/>
        <w:jc w:val="both"/>
      </w:pPr>
      <w:r>
        <w:rPr>
          <w:rFonts w:ascii="Arial" w:cs="Arial" w:eastAsia="Arial" w:hAnsi="Arial"/>
          <w:sz w:val="21"/>
          <w:szCs w:val="21"/>
        </w:rPr>
        <w:t xml:space="preserve">Crivelli, C., y Fridlund, A. J. (2018). Facial displays are tools for social influence. Trends in Cognitive Sciences, 22(5), 388–399. </w:t>
      </w:r>
      <w:r>
        <w:rPr>
          <w:rFonts w:ascii="Arial" w:cs="Arial" w:eastAsia="Arial" w:hAnsi="Arial"/>
          <w:color w:val="2A6099"/>
          <w:sz w:val="21"/>
          <w:szCs w:val="21"/>
        </w:rPr>
        <w:t xml:space="preserve">https://doi.org/10.1016/j.tics.2018.02.006</w:t>
      </w:r>
    </w:p>
    <w:p>
      <w:pPr>
        <w:spacing w:after="140" w:line="300"/>
        <w:ind w:left="567" w:hanging="567"/>
        <w:jc w:val="both"/>
      </w:pPr>
      <w:r>
        <w:rPr>
          <w:rFonts w:ascii="Arial" w:cs="Arial" w:eastAsia="Arial" w:hAnsi="Arial"/>
          <w:sz w:val="21"/>
          <w:szCs w:val="21"/>
        </w:rPr>
        <w:t xml:space="preserve">Dotson, K. (2011). Tracking epistemic violence, tracking practices of silencing. Hypatia, 26(2), 236–257. </w:t>
      </w:r>
      <w:r>
        <w:rPr>
          <w:rFonts w:ascii="Arial" w:cs="Arial" w:eastAsia="Arial" w:hAnsi="Arial"/>
          <w:color w:val="2A6099"/>
          <w:sz w:val="21"/>
          <w:szCs w:val="21"/>
        </w:rPr>
        <w:t xml:space="preserve">https://doi.org/10.1111/j.1527-2001.2011.01177.x</w:t>
      </w:r>
    </w:p>
    <w:p>
      <w:pPr>
        <w:spacing w:after="140" w:line="300"/>
        <w:ind w:left="567" w:hanging="567"/>
        <w:jc w:val="both"/>
      </w:pPr>
      <w:r>
        <w:rPr>
          <w:rFonts w:ascii="Arial" w:cs="Arial" w:eastAsia="Arial" w:hAnsi="Arial"/>
          <w:sz w:val="21"/>
          <w:szCs w:val="21"/>
        </w:rPr>
        <w:t xml:space="preserve">Dryzek, J. S., y Niemeyer, S. J. (2024). Expressive epistemic injustice: Definition, measurement, and deliberative cure. Political Research Quarterly. </w:t>
      </w:r>
      <w:r>
        <w:rPr>
          <w:rFonts w:ascii="Arial" w:cs="Arial" w:eastAsia="Arial" w:hAnsi="Arial"/>
          <w:color w:val="2A6099"/>
          <w:sz w:val="21"/>
          <w:szCs w:val="21"/>
        </w:rPr>
        <w:t xml:space="preserve">https://doi.org/10.1177/10659129241297272</w:t>
      </w:r>
    </w:p>
    <w:p>
      <w:pPr>
        <w:spacing w:after="140" w:line="300"/>
        <w:ind w:left="567" w:hanging="567"/>
        <w:jc w:val="both"/>
      </w:pPr>
      <w:r>
        <w:rPr>
          <w:rFonts w:ascii="Arial" w:cs="Arial" w:eastAsia="Arial" w:hAnsi="Arial"/>
          <w:sz w:val="21"/>
          <w:szCs w:val="21"/>
        </w:rPr>
        <w:t xml:space="preserve">Ekman, P., Friesen, W. V., y Hager, J. C. (2002). Facial Action Coding System (FACS): The manual on CD-ROM. Research Nexus / A Human Face.</w:t>
      </w:r>
    </w:p>
    <w:p>
      <w:pPr>
        <w:spacing w:after="140" w:line="300"/>
        <w:ind w:left="567" w:hanging="567"/>
        <w:jc w:val="both"/>
      </w:pPr>
      <w:r>
        <w:rPr>
          <w:rFonts w:ascii="Arial" w:cs="Arial" w:eastAsia="Arial" w:hAnsi="Arial"/>
          <w:sz w:val="21"/>
          <w:szCs w:val="21"/>
        </w:rPr>
        <w:t xml:space="preserve">Eyben, F., Scherer, K. R., Schuller, B. W., Sundberg, J., André, E., Busso, C., Devillers, L. Y., Epps, J., Laukka, P., Narayanan, S. S., y Truong, K. P. (2016). The Geneva Minimalistic Acoustic Parameter Set (GeMAPS) for voice research and affective computing. IEEE Transactions on Affective Computing, 7(2), 190–202. </w:t>
      </w:r>
      <w:r>
        <w:rPr>
          <w:rFonts w:ascii="Arial" w:cs="Arial" w:eastAsia="Arial" w:hAnsi="Arial"/>
          <w:color w:val="2A6099"/>
          <w:sz w:val="21"/>
          <w:szCs w:val="21"/>
        </w:rPr>
        <w:t xml:space="preserve">https://doi.org/10.1109/TAFFC.2015.2457417</w:t>
      </w:r>
    </w:p>
    <w:p>
      <w:pPr>
        <w:spacing w:after="140" w:line="300"/>
        <w:ind w:left="567" w:hanging="567"/>
        <w:jc w:val="both"/>
      </w:pPr>
      <w:r>
        <w:rPr>
          <w:rFonts w:ascii="Arial" w:cs="Arial" w:eastAsia="Arial" w:hAnsi="Arial"/>
          <w:sz w:val="21"/>
          <w:szCs w:val="21"/>
        </w:rPr>
        <w:t xml:space="preserve">Fraser, N. (1995). From redistribution to recognition? Dilemmas of justice in a 'post-socialist' age. New Left Review, 212, 68–93.</w:t>
      </w:r>
    </w:p>
    <w:p>
      <w:pPr>
        <w:spacing w:after="140" w:line="300"/>
        <w:ind w:left="567" w:hanging="567"/>
        <w:jc w:val="both"/>
      </w:pPr>
      <w:r>
        <w:rPr>
          <w:rFonts w:ascii="Arial" w:cs="Arial" w:eastAsia="Arial" w:hAnsi="Arial"/>
          <w:sz w:val="21"/>
          <w:szCs w:val="21"/>
        </w:rPr>
        <w:t xml:space="preserve">Fraser, N. (2008). Scales of justice: Reimagining political space in a globalizing world. Columbia University Press.</w:t>
      </w:r>
    </w:p>
    <w:p>
      <w:pPr>
        <w:spacing w:after="140" w:line="300"/>
        <w:ind w:left="567" w:hanging="567"/>
        <w:jc w:val="both"/>
      </w:pPr>
      <w:r>
        <w:rPr>
          <w:rFonts w:ascii="Arial" w:cs="Arial" w:eastAsia="Arial" w:hAnsi="Arial"/>
          <w:sz w:val="21"/>
          <w:szCs w:val="21"/>
        </w:rPr>
        <w:t xml:space="preserve">Fricker, M. (2007). Epistemic injustice: Power and the ethics of knowing. Oxford University Press. </w:t>
      </w:r>
      <w:r>
        <w:rPr>
          <w:rFonts w:ascii="Arial" w:cs="Arial" w:eastAsia="Arial" w:hAnsi="Arial"/>
          <w:color w:val="2A6099"/>
          <w:sz w:val="21"/>
          <w:szCs w:val="21"/>
        </w:rPr>
        <w:t xml:space="preserve">https://doi.org/10.1093/acprof:oso/9780198237907.001.0001</w:t>
      </w:r>
    </w:p>
    <w:p>
      <w:pPr>
        <w:spacing w:after="140" w:line="300"/>
        <w:ind w:left="567" w:hanging="567"/>
        <w:jc w:val="both"/>
      </w:pPr>
      <w:r>
        <w:rPr>
          <w:rFonts w:ascii="Arial" w:cs="Arial" w:eastAsia="Arial" w:hAnsi="Arial"/>
          <w:sz w:val="21"/>
          <w:szCs w:val="21"/>
        </w:rPr>
        <w:t xml:space="preserve">Fricker, M. (2017). Injusticia epistémica (R. García Pérez, Trad.). Herder.</w:t>
      </w:r>
    </w:p>
    <w:p>
      <w:pPr>
        <w:spacing w:after="140" w:line="300"/>
        <w:ind w:left="567" w:hanging="567"/>
        <w:jc w:val="both"/>
      </w:pPr>
      <w:r>
        <w:rPr>
          <w:rFonts w:ascii="Arial" w:cs="Arial" w:eastAsia="Arial" w:hAnsi="Arial"/>
          <w:sz w:val="21"/>
          <w:szCs w:val="21"/>
        </w:rPr>
        <w:t xml:space="preserve">Gadamer, H.-G. (1975). Truth and method. Seabury Press.</w:t>
      </w:r>
    </w:p>
    <w:p>
      <w:pPr>
        <w:spacing w:after="140" w:line="300"/>
        <w:ind w:left="567" w:hanging="567"/>
        <w:jc w:val="both"/>
      </w:pPr>
      <w:r>
        <w:rPr>
          <w:rFonts w:ascii="Arial" w:cs="Arial" w:eastAsia="Arial" w:hAnsi="Arial"/>
          <w:sz w:val="21"/>
          <w:szCs w:val="21"/>
        </w:rPr>
        <w:t xml:space="preserve">Galtung, J. (1969). Violence, peace, and peace research. Journal of Peace Research, 6(3), 167–191. </w:t>
      </w:r>
      <w:r>
        <w:rPr>
          <w:rFonts w:ascii="Arial" w:cs="Arial" w:eastAsia="Arial" w:hAnsi="Arial"/>
          <w:color w:val="2A6099"/>
          <w:sz w:val="21"/>
          <w:szCs w:val="21"/>
        </w:rPr>
        <w:t xml:space="preserve">https://doi.org/10.1177/002234336900600301</w:t>
      </w:r>
    </w:p>
    <w:p>
      <w:pPr>
        <w:spacing w:after="140" w:line="300"/>
        <w:ind w:left="567" w:hanging="567"/>
        <w:jc w:val="both"/>
      </w:pPr>
      <w:r>
        <w:rPr>
          <w:rFonts w:ascii="Arial" w:cs="Arial" w:eastAsia="Arial" w:hAnsi="Arial"/>
          <w:sz w:val="21"/>
          <w:szCs w:val="21"/>
        </w:rPr>
        <w:t xml:space="preserve">Galtung, J. (1990). Cultural violence. Journal of Peace Research, 27(3), 291–305. </w:t>
      </w:r>
      <w:r>
        <w:rPr>
          <w:rFonts w:ascii="Arial" w:cs="Arial" w:eastAsia="Arial" w:hAnsi="Arial"/>
          <w:color w:val="2A6099"/>
          <w:sz w:val="21"/>
          <w:szCs w:val="21"/>
        </w:rPr>
        <w:t xml:space="preserve">https://doi.org/10.1177/0022343390027003005</w:t>
      </w:r>
    </w:p>
    <w:p>
      <w:pPr>
        <w:spacing w:after="140" w:line="300"/>
        <w:ind w:left="567" w:hanging="567"/>
        <w:jc w:val="both"/>
      </w:pPr>
      <w:r>
        <w:rPr>
          <w:rFonts w:ascii="Arial" w:cs="Arial" w:eastAsia="Arial" w:hAnsi="Arial"/>
          <w:sz w:val="21"/>
          <w:szCs w:val="21"/>
        </w:rPr>
        <w:t xml:space="preserve">Garg, N., Schiebinger, L., Jurafsky, D., y Zou, J. (2018). Word embeddings quantify 100 years of gender and ethnic stereotypes. Proceedings of the National Academy of Sciences, 115(16), E3635–E3644. </w:t>
      </w:r>
      <w:r>
        <w:rPr>
          <w:rFonts w:ascii="Arial" w:cs="Arial" w:eastAsia="Arial" w:hAnsi="Arial"/>
          <w:color w:val="2A6099"/>
          <w:sz w:val="21"/>
          <w:szCs w:val="21"/>
        </w:rPr>
        <w:t xml:space="preserve">https://doi.org/10.1073/pnas.1720347115</w:t>
      </w:r>
    </w:p>
    <w:p>
      <w:pPr>
        <w:spacing w:after="140" w:line="300"/>
        <w:ind w:left="567" w:hanging="567"/>
        <w:jc w:val="both"/>
      </w:pPr>
      <w:r>
        <w:rPr>
          <w:rFonts w:ascii="Arial" w:cs="Arial" w:eastAsia="Arial" w:hAnsi="Arial"/>
          <w:sz w:val="21"/>
          <w:szCs w:val="21"/>
        </w:rPr>
        <w:t xml:space="preserve">Gilardi, F., Alizadeh, M., y Kubli, M. (2023). ChatGPT outperforms crowd workers for text-annotation tasks. Proceedings of the National Academy of Sciences, 120(30), e2305016120. </w:t>
      </w:r>
      <w:r>
        <w:rPr>
          <w:rFonts w:ascii="Arial" w:cs="Arial" w:eastAsia="Arial" w:hAnsi="Arial"/>
          <w:color w:val="2A6099"/>
          <w:sz w:val="21"/>
          <w:szCs w:val="21"/>
        </w:rPr>
        <w:t xml:space="preserve">https://doi.org/10.1073/pnas.2305016120</w:t>
      </w:r>
    </w:p>
    <w:p>
      <w:pPr>
        <w:spacing w:after="140" w:line="300"/>
        <w:ind w:left="567" w:hanging="567"/>
        <w:jc w:val="both"/>
      </w:pPr>
      <w:r>
        <w:rPr>
          <w:rFonts w:ascii="Arial" w:cs="Arial" w:eastAsia="Arial" w:hAnsi="Arial"/>
          <w:sz w:val="21"/>
          <w:szCs w:val="21"/>
        </w:rPr>
        <w:t xml:space="preserve">Goupil, L., Ponsot, E., Richardson, D., Reyes, G., y Aucouturier, J.-J. (2021). Listeners' perceptions of certainty and honesty are associated with a common prosodic signature. Nature Communications, 12, 861. </w:t>
      </w:r>
      <w:r>
        <w:rPr>
          <w:rFonts w:ascii="Arial" w:cs="Arial" w:eastAsia="Arial" w:hAnsi="Arial"/>
          <w:color w:val="2A6099"/>
          <w:sz w:val="21"/>
          <w:szCs w:val="21"/>
        </w:rPr>
        <w:t xml:space="preserve">https://doi.org/10.1038/s41467-021-21516-2</w:t>
      </w:r>
    </w:p>
    <w:p>
      <w:pPr>
        <w:spacing w:after="140" w:line="300"/>
        <w:ind w:left="567" w:hanging="567"/>
        <w:jc w:val="both"/>
      </w:pPr>
      <w:r>
        <w:rPr>
          <w:rFonts w:ascii="Arial" w:cs="Arial" w:eastAsia="Arial" w:hAnsi="Arial"/>
          <w:sz w:val="21"/>
          <w:szCs w:val="21"/>
        </w:rPr>
        <w:t xml:space="preserve">Habermas, J. (1984). The theory of communicative action, Vol. 1: Reason and the rationalization of society. Beacon Press.</w:t>
      </w:r>
    </w:p>
    <w:p>
      <w:pPr>
        <w:spacing w:after="140" w:line="300"/>
        <w:ind w:left="567" w:hanging="567"/>
        <w:jc w:val="both"/>
      </w:pPr>
      <w:r>
        <w:rPr>
          <w:rFonts w:ascii="Arial" w:cs="Arial" w:eastAsia="Arial" w:hAnsi="Arial"/>
          <w:sz w:val="21"/>
          <w:szCs w:val="21"/>
        </w:rPr>
        <w:t xml:space="preserve">Habermas, J. (1987). The theory of communicative action, Vol. 2: Lifeworld and system. Beacon Press.</w:t>
      </w:r>
    </w:p>
    <w:p>
      <w:pPr>
        <w:spacing w:after="140" w:line="300"/>
        <w:ind w:left="567" w:hanging="567"/>
        <w:jc w:val="both"/>
      </w:pPr>
      <w:r>
        <w:rPr>
          <w:rFonts w:ascii="Arial" w:cs="Arial" w:eastAsia="Arial" w:hAnsi="Arial"/>
          <w:sz w:val="21"/>
          <w:szCs w:val="21"/>
        </w:rPr>
        <w:t xml:space="preserve">Habermas, J. (1996). Between facts and norms: Contributions to a discourse theory of law and democracy. MIT Press.</w:t>
      </w:r>
    </w:p>
    <w:p>
      <w:pPr>
        <w:spacing w:after="140" w:line="300"/>
        <w:ind w:left="567" w:hanging="567"/>
        <w:jc w:val="both"/>
      </w:pPr>
      <w:r>
        <w:rPr>
          <w:rFonts w:ascii="Arial" w:cs="Arial" w:eastAsia="Arial" w:hAnsi="Arial"/>
          <w:sz w:val="21"/>
          <w:szCs w:val="21"/>
        </w:rPr>
        <w:t xml:space="preserve">Hair, J. F., Risher, J. J., Sarstedt, M., y Ringle, C. M. (2019). When to use and how to report the results of PLS-SEM. European Business Review, 31(1), 2–24. </w:t>
      </w:r>
      <w:r>
        <w:rPr>
          <w:rFonts w:ascii="Arial" w:cs="Arial" w:eastAsia="Arial" w:hAnsi="Arial"/>
          <w:color w:val="2A6099"/>
          <w:sz w:val="21"/>
          <w:szCs w:val="21"/>
        </w:rPr>
        <w:t xml:space="preserve">https://doi.org/10.1108/EBR-11-2018-0203</w:t>
      </w:r>
    </w:p>
    <w:p>
      <w:pPr>
        <w:spacing w:after="140" w:line="300"/>
        <w:ind w:left="567" w:hanging="567"/>
        <w:jc w:val="both"/>
      </w:pPr>
      <w:r>
        <w:rPr>
          <w:rFonts w:ascii="Arial" w:cs="Arial" w:eastAsia="Arial" w:hAnsi="Arial"/>
          <w:sz w:val="21"/>
          <w:szCs w:val="21"/>
        </w:rPr>
        <w:t xml:space="preserve">Human Rights Watch. (2015). El rol de los altos mandos en los falsos positivos de Colombia. HRW.</w:t>
      </w:r>
    </w:p>
    <w:p>
      <w:pPr>
        <w:spacing w:after="140" w:line="300"/>
        <w:ind w:left="567" w:hanging="567"/>
        <w:jc w:val="both"/>
      </w:pPr>
      <w:r>
        <w:rPr>
          <w:rFonts w:ascii="Arial" w:cs="Arial" w:eastAsia="Arial" w:hAnsi="Arial"/>
          <w:sz w:val="21"/>
          <w:szCs w:val="21"/>
        </w:rPr>
        <w:t xml:space="preserve">Human Rights Watch. (2020). Colombia: Un cuarto de siglo de reformas fallidas en derechos humanos. HRW.</w:t>
      </w:r>
    </w:p>
    <w:p>
      <w:pPr>
        <w:spacing w:after="140" w:line="300"/>
        <w:ind w:left="567" w:hanging="567"/>
        <w:jc w:val="both"/>
      </w:pPr>
      <w:r>
        <w:rPr>
          <w:rFonts w:ascii="Arial" w:cs="Arial" w:eastAsia="Arial" w:hAnsi="Arial"/>
          <w:sz w:val="21"/>
          <w:szCs w:val="21"/>
        </w:rPr>
        <w:t xml:space="preserve">ICC — International Criminal Court, Office of the Prosecutor. (2020). Situation in Colombia: Preliminary examination. Corte Penal Internacional.</w:t>
      </w:r>
    </w:p>
    <w:p>
      <w:pPr>
        <w:spacing w:after="140" w:line="300"/>
        <w:ind w:left="567" w:hanging="567"/>
        <w:jc w:val="both"/>
      </w:pPr>
      <w:r>
        <w:rPr>
          <w:rFonts w:ascii="Arial" w:cs="Arial" w:eastAsia="Arial" w:hAnsi="Arial"/>
          <w:sz w:val="21"/>
          <w:szCs w:val="21"/>
        </w:rPr>
        <w:t xml:space="preserve">Igolkina, A. A., y Meshcheryakov, G. (2020). semopy: A Python package for structural equation modeling. Structural Equation Modeling, 27(6), 952–963. </w:t>
      </w:r>
      <w:r>
        <w:rPr>
          <w:rFonts w:ascii="Arial" w:cs="Arial" w:eastAsia="Arial" w:hAnsi="Arial"/>
          <w:color w:val="2A6099"/>
          <w:sz w:val="21"/>
          <w:szCs w:val="21"/>
        </w:rPr>
        <w:t xml:space="preserve">https://doi.org/10.1080/10705511.2019.1704289</w:t>
      </w:r>
    </w:p>
    <w:p>
      <w:pPr>
        <w:spacing w:after="140" w:line="300"/>
        <w:ind w:left="567" w:hanging="567"/>
        <w:jc w:val="both"/>
      </w:pPr>
      <w:r>
        <w:rPr>
          <w:rFonts w:ascii="Arial" w:cs="Arial" w:eastAsia="Arial" w:hAnsi="Arial"/>
          <w:sz w:val="21"/>
          <w:szCs w:val="21"/>
        </w:rPr>
        <w:t xml:space="preserve">Impunity Watch. (2025). AI and transitional justice: Mapping report. Impunity Watch.</w:t>
      </w:r>
    </w:p>
    <w:p>
      <w:pPr>
        <w:spacing w:after="140" w:line="300"/>
        <w:ind w:left="567" w:hanging="567"/>
        <w:jc w:val="both"/>
      </w:pPr>
      <w:r>
        <w:rPr>
          <w:rFonts w:ascii="Arial" w:cs="Arial" w:eastAsia="Arial" w:hAnsi="Arial"/>
          <w:sz w:val="21"/>
          <w:szCs w:val="21"/>
        </w:rPr>
        <w:t xml:space="preserve">Jaramillo, J. (2021). El lenguaje de la verdad: Análisis discursivo de las audiencias JEP del Macrocaso 003 [Tesis de maestría, Universidad de los Andes].</w:t>
      </w:r>
    </w:p>
    <w:p>
      <w:pPr>
        <w:spacing w:after="140" w:line="300"/>
        <w:ind w:left="567" w:hanging="567"/>
        <w:jc w:val="both"/>
      </w:pPr>
      <w:r>
        <w:rPr>
          <w:rFonts w:ascii="Arial" w:cs="Arial" w:eastAsia="Arial" w:hAnsi="Arial"/>
          <w:sz w:val="21"/>
          <w:szCs w:val="21"/>
        </w:rPr>
        <w:t xml:space="preserve">Jelin, E. (2002). Los trabajos de la memoria. Siglo XXI.</w:t>
      </w:r>
    </w:p>
    <w:p>
      <w:pPr>
        <w:spacing w:after="140" w:line="300"/>
        <w:ind w:left="567" w:hanging="567"/>
        <w:jc w:val="both"/>
      </w:pPr>
      <w:r>
        <w:rPr>
          <w:rFonts w:ascii="Arial" w:cs="Arial" w:eastAsia="Arial" w:hAnsi="Arial"/>
          <w:sz w:val="21"/>
          <w:szCs w:val="21"/>
        </w:rPr>
        <w:t xml:space="preserve">Jurisdicción Especial para la Paz. (2021). Auto No. 125 de 2021 — Caso 03, Subcaso Norte de Santander. Sala de Reconocimiento de Verdad, Responsabilidad y Determinación de los Hechos y Conductas.</w:t>
      </w:r>
    </w:p>
    <w:p>
      <w:pPr>
        <w:spacing w:after="140" w:line="300"/>
        <w:ind w:left="567" w:hanging="567"/>
        <w:jc w:val="both"/>
      </w:pPr>
      <w:r>
        <w:rPr>
          <w:rFonts w:ascii="Arial" w:cs="Arial" w:eastAsia="Arial" w:hAnsi="Arial"/>
          <w:sz w:val="21"/>
          <w:szCs w:val="21"/>
        </w:rPr>
        <w:t xml:space="preserve">Jurisdicción Especial para la Paz. (2022). Resolución de Conclusiones No. 01 de 2022 — Caso 03. Sala de Reconocimiento de Verdad, Responsabilidad y Determinación de los Hechos y Conductas.</w:t>
      </w:r>
    </w:p>
    <w:p>
      <w:pPr>
        <w:spacing w:after="140" w:line="300"/>
        <w:ind w:left="567" w:hanging="567"/>
        <w:jc w:val="both"/>
      </w:pPr>
      <w:r>
        <w:rPr>
          <w:rFonts w:ascii="Arial" w:cs="Arial" w:eastAsia="Arial" w:hAnsi="Arial"/>
          <w:sz w:val="21"/>
          <w:szCs w:val="21"/>
        </w:rPr>
        <w:t xml:space="preserve">Kline, R. B. (2023). Principles and practice of structural equation modeling (5.ª ed.). Guilford Press.</w:t>
      </w:r>
    </w:p>
    <w:p>
      <w:pPr>
        <w:spacing w:after="140" w:line="300"/>
        <w:ind w:left="567" w:hanging="567"/>
        <w:jc w:val="both"/>
      </w:pPr>
      <w:r>
        <w:rPr>
          <w:rFonts w:ascii="Arial" w:cs="Arial" w:eastAsia="Arial" w:hAnsi="Arial"/>
          <w:sz w:val="21"/>
          <w:szCs w:val="21"/>
        </w:rPr>
        <w:t xml:space="preserve">Kozlowski, A. C., Taddy, M., y Evans, J. A. (2019). The geometry of culture: Analyzing the meanings of class through word embeddings. American Sociological Review, 84(5), 905–949. </w:t>
      </w:r>
      <w:r>
        <w:rPr>
          <w:rFonts w:ascii="Arial" w:cs="Arial" w:eastAsia="Arial" w:hAnsi="Arial"/>
          <w:color w:val="2A6099"/>
          <w:sz w:val="21"/>
          <w:szCs w:val="21"/>
        </w:rPr>
        <w:t xml:space="preserve">https://doi.org/10.1177/0003122419877135</w:t>
      </w:r>
    </w:p>
    <w:p>
      <w:pPr>
        <w:spacing w:after="140" w:line="300"/>
        <w:ind w:left="567" w:hanging="567"/>
        <w:jc w:val="both"/>
      </w:pPr>
      <w:r>
        <w:rPr>
          <w:rFonts w:ascii="Arial" w:cs="Arial" w:eastAsia="Arial" w:hAnsi="Arial"/>
          <w:sz w:val="21"/>
          <w:szCs w:val="21"/>
        </w:rPr>
        <w:t xml:space="preserve">Lafont, C. (1999). The linguistic turn in hermeneutic philosophy. MIT Press.</w:t>
      </w:r>
    </w:p>
    <w:p>
      <w:pPr>
        <w:spacing w:after="140" w:line="300"/>
        <w:ind w:left="567" w:hanging="567"/>
        <w:jc w:val="both"/>
      </w:pPr>
      <w:r>
        <w:rPr>
          <w:rFonts w:ascii="Arial" w:cs="Arial" w:eastAsia="Arial" w:hAnsi="Arial"/>
          <w:sz w:val="21"/>
          <w:szCs w:val="21"/>
        </w:rPr>
        <w:t xml:space="preserve">Landis, J. R., y Koch, G. G. (1977). The measurement of observer agreement for categorical data. Biometrics, 33(1), 159–174. </w:t>
      </w:r>
      <w:r>
        <w:rPr>
          <w:rFonts w:ascii="Arial" w:cs="Arial" w:eastAsia="Arial" w:hAnsi="Arial"/>
          <w:color w:val="2A6099"/>
          <w:sz w:val="21"/>
          <w:szCs w:val="21"/>
        </w:rPr>
        <w:t xml:space="preserve">https://doi.org/10.2307/2529310</w:t>
      </w:r>
    </w:p>
    <w:p>
      <w:pPr>
        <w:spacing w:after="140" w:line="300"/>
        <w:ind w:left="567" w:hanging="567"/>
        <w:jc w:val="both"/>
      </w:pPr>
      <w:r>
        <w:rPr>
          <w:rFonts w:ascii="Arial" w:cs="Arial" w:eastAsia="Arial" w:hAnsi="Arial"/>
          <w:sz w:val="21"/>
          <w:szCs w:val="21"/>
        </w:rPr>
        <w:t xml:space="preserve">Lippi, M., y Torroni, P. (2016). Argumentation mining: State of the art and emerging trends. ACM Transactions on Internet Technology, 16(2), 1–25. </w:t>
      </w:r>
      <w:r>
        <w:rPr>
          <w:rFonts w:ascii="Arial" w:cs="Arial" w:eastAsia="Arial" w:hAnsi="Arial"/>
          <w:color w:val="2A6099"/>
          <w:sz w:val="21"/>
          <w:szCs w:val="21"/>
        </w:rPr>
        <w:t xml:space="preserve">https://doi.org/10.1145/2850417</w:t>
      </w:r>
    </w:p>
    <w:p>
      <w:pPr>
        <w:spacing w:after="140" w:line="300"/>
        <w:ind w:left="567" w:hanging="567"/>
        <w:jc w:val="both"/>
      </w:pPr>
      <w:r>
        <w:rPr>
          <w:rFonts w:ascii="Arial" w:cs="Arial" w:eastAsia="Arial" w:hAnsi="Arial"/>
          <w:sz w:val="21"/>
          <w:szCs w:val="21"/>
        </w:rPr>
        <w:t xml:space="preserve">Lugaresi, C., Tang, J., Nash, H., McClanahan, C., Uboweja, E., Hays, M., Zhang, F., Chang, C.-L., Yong, M. G., Lee, J., Chang, W.-T., Hua, W., Georg, M., y Grundmann, M. (2019). MediaPipe: A framework for building perception pipelines. arXiv. </w:t>
      </w:r>
      <w:r>
        <w:rPr>
          <w:rFonts w:ascii="Arial" w:cs="Arial" w:eastAsia="Arial" w:hAnsi="Arial"/>
          <w:color w:val="2A6099"/>
          <w:sz w:val="21"/>
          <w:szCs w:val="21"/>
        </w:rPr>
        <w:t xml:space="preserve">https://doi.org/10.48550/arXiv.1906.08172</w:t>
      </w:r>
    </w:p>
    <w:p>
      <w:pPr>
        <w:spacing w:after="140" w:line="300"/>
        <w:ind w:left="567" w:hanging="567"/>
        <w:jc w:val="both"/>
      </w:pPr>
      <w:r>
        <w:rPr>
          <w:rFonts w:ascii="Arial" w:cs="Arial" w:eastAsia="Arial" w:hAnsi="Arial"/>
          <w:sz w:val="21"/>
          <w:szCs w:val="21"/>
        </w:rPr>
        <w:t xml:space="preserve">MAFAPO — Madres de Falsos Positivos de Soacha y Bogotá. (2021). Unidas por la memoria y la verdad. OIM / Embajada de Suecia.</w:t>
      </w:r>
    </w:p>
    <w:p>
      <w:pPr>
        <w:spacing w:after="140" w:line="300"/>
        <w:ind w:left="567" w:hanging="567"/>
        <w:jc w:val="both"/>
      </w:pPr>
      <w:r>
        <w:rPr>
          <w:rFonts w:ascii="Arial" w:cs="Arial" w:eastAsia="Arial" w:hAnsi="Arial"/>
          <w:sz w:val="21"/>
          <w:szCs w:val="21"/>
        </w:rPr>
        <w:t xml:space="preserve">Mamdani, M. (1996). Reconciliation without justice. Southern African Review of Books, 46, 3–5.</w:t>
      </w:r>
    </w:p>
    <w:p>
      <w:pPr>
        <w:spacing w:after="140" w:line="300"/>
        <w:ind w:left="567" w:hanging="567"/>
        <w:jc w:val="both"/>
      </w:pPr>
      <w:r>
        <w:rPr>
          <w:rFonts w:ascii="Arial" w:cs="Arial" w:eastAsia="Arial" w:hAnsi="Arial"/>
          <w:sz w:val="21"/>
          <w:szCs w:val="21"/>
        </w:rPr>
        <w:t xml:space="preserve">Mann, H. B., y Whitney, D. R. (1947). On a test of whether one of two random variables is stochastically larger than the other. Annals of Mathematical Statistics, 18(1), 50–60. </w:t>
      </w:r>
      <w:r>
        <w:rPr>
          <w:rFonts w:ascii="Arial" w:cs="Arial" w:eastAsia="Arial" w:hAnsi="Arial"/>
          <w:color w:val="2A6099"/>
          <w:sz w:val="21"/>
          <w:szCs w:val="21"/>
        </w:rPr>
        <w:t xml:space="preserve">https://doi.org/10.1214/aoms/1177730491</w:t>
      </w:r>
    </w:p>
    <w:p>
      <w:pPr>
        <w:spacing w:after="140" w:line="300"/>
        <w:ind w:left="567" w:hanging="567"/>
        <w:jc w:val="both"/>
      </w:pPr>
      <w:r>
        <w:rPr>
          <w:rFonts w:ascii="Arial" w:cs="Arial" w:eastAsia="Arial" w:hAnsi="Arial"/>
          <w:sz w:val="21"/>
          <w:szCs w:val="21"/>
        </w:rPr>
        <w:t xml:space="preserve">Medina, J. (2013). The epistemology of resistance: Gender and racial oppression, epistemic injustice, and resistant imaginations. Oxford University Press.</w:t>
      </w:r>
    </w:p>
    <w:p>
      <w:pPr>
        <w:spacing w:after="140" w:line="300"/>
        <w:ind w:left="567" w:hanging="567"/>
        <w:jc w:val="both"/>
      </w:pPr>
      <w:r>
        <w:rPr>
          <w:rFonts w:ascii="Arial" w:cs="Arial" w:eastAsia="Arial" w:hAnsi="Arial"/>
          <w:sz w:val="21"/>
          <w:szCs w:val="21"/>
        </w:rPr>
        <w:t xml:space="preserve">Mendelsohn, J., Tsvetkov, Y., y Jurafsky, D. (2020). A framework for the computational linguistic analysis of dehumanization. Frontiers in Artificial Intelligence, 3, 55. </w:t>
      </w:r>
      <w:r>
        <w:rPr>
          <w:rFonts w:ascii="Arial" w:cs="Arial" w:eastAsia="Arial" w:hAnsi="Arial"/>
          <w:color w:val="2A6099"/>
          <w:sz w:val="21"/>
          <w:szCs w:val="21"/>
        </w:rPr>
        <w:t xml:space="preserve">https://doi.org/10.3389/frai.2020.00055</w:t>
      </w:r>
    </w:p>
    <w:p>
      <w:pPr>
        <w:spacing w:after="140" w:line="300"/>
        <w:ind w:left="567" w:hanging="567"/>
        <w:jc w:val="both"/>
      </w:pPr>
      <w:r>
        <w:rPr>
          <w:rFonts w:ascii="Arial" w:cs="Arial" w:eastAsia="Arial" w:hAnsi="Arial"/>
          <w:sz w:val="21"/>
          <w:szCs w:val="21"/>
        </w:rPr>
        <w:t>National Institute of Standards and Technology. (2023). Artificial Intelligence Risk Management Framework (AI RMF 1.0). U.S. Department of Commerce.</w:t>
      </w:r>
      <w:r>
        <w:rPr>
          <w:rFonts w:ascii="Arial" w:cs="Arial" w:eastAsia="Arial" w:hAnsi="Arial"/>
          <w:color w:val="2A6099"/>
          <w:sz w:val="21"/>
          <w:szCs w:val="21"/>
        </w:rPr>
      </w:r>
    </w:p>
    <w:p>
      <w:pPr>
        <w:spacing w:after="140" w:line="300"/>
        <w:ind w:left="567" w:hanging="567"/>
        <w:jc w:val="both"/>
      </w:pPr>
      <w:r>
        <w:rPr>
          <w:rFonts w:ascii="Arial" w:cs="Arial" w:eastAsia="Arial" w:hAnsi="Arial"/>
          <w:sz w:val="21"/>
          <w:szCs w:val="21"/>
        </w:rPr>
        <w:t>Organización para la Cooperación y el Desarrollo Económicos. (2019). Recomendación del Consejo sobre Inteligencia Artificial (OECD/LEGAL/0449). OCDE.</w:t>
      </w:r>
      <w:r>
        <w:rPr>
          <w:rFonts w:ascii="Arial" w:cs="Arial" w:eastAsia="Arial" w:hAnsi="Arial"/>
          <w:color w:val="2A6099"/>
          <w:sz w:val="21"/>
          <w:szCs w:val="21"/>
        </w:rPr>
      </w:r>
    </w:p>
    <w:p>
      <w:pPr>
        <w:spacing w:after="140" w:line="300"/>
        <w:ind w:left="567" w:hanging="567"/>
        <w:jc w:val="both"/>
      </w:pPr>
      <w:r>
        <w:rPr>
          <w:rFonts w:ascii="Arial" w:cs="Arial" w:eastAsia="Arial" w:hAnsi="Arial"/>
          <w:sz w:val="21"/>
          <w:szCs w:val="21"/>
        </w:rPr>
        <w:t xml:space="preserve">Meyers, J., y Valls-Vargas, J. (2023). The language of inclusion: Critical corpus-based methods in Liberia's Truth Commission. Social Justice Research, 36, 379–402. </w:t>
      </w:r>
      <w:r>
        <w:rPr>
          <w:rFonts w:ascii="Arial" w:cs="Arial" w:eastAsia="Arial" w:hAnsi="Arial"/>
          <w:color w:val="2A6099"/>
          <w:sz w:val="21"/>
          <w:szCs w:val="21"/>
        </w:rPr>
        <w:t xml:space="preserve">https://doi.org/10.1007/s11211-023-00417-7</w:t>
      </w:r>
    </w:p>
    <w:p>
      <w:pPr>
        <w:spacing w:after="140" w:line="300"/>
        <w:ind w:left="567" w:hanging="567"/>
        <w:jc w:val="both"/>
      </w:pPr>
      <w:r>
        <w:rPr>
          <w:rFonts w:ascii="Arial" w:cs="Arial" w:eastAsia="Arial" w:hAnsi="Arial"/>
          <w:sz w:val="21"/>
          <w:szCs w:val="21"/>
        </w:rPr>
        <w:t xml:space="preserve">Noble, S. U. (2018). Algorithms of oppression: How search engines reinforce racism. New York University Press.</w:t>
      </w:r>
    </w:p>
    <w:p>
      <w:pPr>
        <w:spacing w:after="140" w:line="300"/>
        <w:ind w:left="567" w:hanging="567"/>
        <w:jc w:val="both"/>
      </w:pPr>
      <w:r>
        <w:rPr>
          <w:rFonts w:ascii="Arial" w:cs="Arial" w:eastAsia="Arial" w:hAnsi="Arial"/>
          <w:sz w:val="21"/>
          <w:szCs w:val="21"/>
        </w:rPr>
        <w:t xml:space="preserve">OACNUDH. (2010). Informe del Relator Especial sobre las ejecuciones extrajudiciales, sumarias o arbitrarias: Misión a Colombia (A/HRC/14/24/Add.2). Oficina del Alto Comisionado de las Naciones Unidas para los Derechos Humanos.</w:t>
      </w:r>
    </w:p>
    <w:p>
      <w:pPr>
        <w:spacing w:after="140" w:line="300"/>
        <w:ind w:left="567" w:hanging="567"/>
        <w:jc w:val="both"/>
      </w:pPr>
      <w:r>
        <w:rPr>
          <w:rFonts w:ascii="Arial" w:cs="Arial" w:eastAsia="Arial" w:hAnsi="Arial"/>
          <w:sz w:val="21"/>
          <w:szCs w:val="21"/>
        </w:rPr>
        <w:t xml:space="preserve">Páez, A., y Matida, J. (2022). La injusticia epistémica en el proceso penal. Estudios de Filosofía, 65, 5–25.</w:t>
      </w:r>
    </w:p>
    <w:p>
      <w:pPr>
        <w:spacing w:after="140" w:line="300"/>
        <w:ind w:left="567" w:hanging="567"/>
        <w:jc w:val="both"/>
      </w:pPr>
      <w:r>
        <w:rPr>
          <w:rFonts w:ascii="Arial" w:cs="Arial" w:eastAsia="Arial" w:hAnsi="Arial"/>
          <w:sz w:val="21"/>
          <w:szCs w:val="21"/>
        </w:rPr>
        <w:t xml:space="preserve">Pérez-Rosas, V., Abouelenien, M., Mihalcea, R., y Burzo, M. (2015). Deception detection using real-life trial data. Proceedings of ICMI 2015, 59–66. </w:t>
      </w:r>
      <w:r>
        <w:rPr>
          <w:rFonts w:ascii="Arial" w:cs="Arial" w:eastAsia="Arial" w:hAnsi="Arial"/>
          <w:color w:val="2A6099"/>
          <w:sz w:val="21"/>
          <w:szCs w:val="21"/>
        </w:rPr>
        <w:t xml:space="preserve">https://doi.org/10.1145/2818346.2820758</w:t>
      </w:r>
    </w:p>
    <w:p>
      <w:pPr>
        <w:spacing w:after="140" w:line="300"/>
        <w:ind w:left="567" w:hanging="567"/>
        <w:jc w:val="both"/>
      </w:pPr>
      <w:r>
        <w:rPr>
          <w:rFonts w:ascii="Arial" w:cs="Arial" w:eastAsia="Arial" w:hAnsi="Arial"/>
          <w:sz w:val="21"/>
          <w:szCs w:val="21"/>
        </w:rPr>
        <w:t xml:space="preserve">Pohlhaus, G., Jr. (2012). Relational knowing and epistemic injustice: Toward a theory of willful hermeneutical ignorance. Hypatia, 27(4), 715–735. </w:t>
      </w:r>
      <w:r>
        <w:rPr>
          <w:rFonts w:ascii="Arial" w:cs="Arial" w:eastAsia="Arial" w:hAnsi="Arial"/>
          <w:color w:val="2A6099"/>
          <w:sz w:val="21"/>
          <w:szCs w:val="21"/>
        </w:rPr>
        <w:t xml:space="preserve">https://doi.org/10.1111/j.1527-2001.2011.01222.x</w:t>
      </w:r>
    </w:p>
    <w:p>
      <w:pPr>
        <w:spacing w:after="140" w:line="300"/>
        <w:ind w:left="567" w:hanging="567"/>
        <w:jc w:val="both"/>
      </w:pPr>
      <w:r>
        <w:rPr>
          <w:rFonts w:ascii="Arial" w:cs="Arial" w:eastAsia="Arial" w:hAnsi="Arial"/>
          <w:sz w:val="21"/>
          <w:szCs w:val="21"/>
        </w:rPr>
        <w:t>Parlamento Europeo y Consejo de la Unión Europea. (2016). Reglamento (UE) 2016/679 relativo a la protección de las personas físicas en lo que respecta al tratamiento de datos personales (RGPD). Diario Oficial de la Unión Europea.</w:t>
      </w:r>
      <w:r>
        <w:rPr>
          <w:rFonts w:ascii="Arial" w:cs="Arial" w:eastAsia="Arial" w:hAnsi="Arial"/>
          <w:color w:val="2A6099"/>
          <w:sz w:val="21"/>
          <w:szCs w:val="21"/>
        </w:rPr>
      </w:r>
    </w:p>
    <w:p>
      <w:pPr>
        <w:spacing w:after="140" w:line="300"/>
        <w:ind w:left="567" w:hanging="567"/>
        <w:jc w:val="both"/>
      </w:pPr>
      <w:r>
        <w:rPr>
          <w:rFonts w:ascii="Arial" w:cs="Arial" w:eastAsia="Arial" w:hAnsi="Arial"/>
          <w:sz w:val="21"/>
          <w:szCs w:val="21"/>
        </w:rPr>
        <w:t>Parlamento Europeo y Consejo de la Unión Europea. (2024). Reglamento (UE) 2024/1689 por el que se establecen normas armonizadas en materia de inteligencia artificial (Ley de IA). Diario Oficial de la Unión Europea.</w:t>
      </w:r>
      <w:r>
        <w:rPr>
          <w:rFonts w:ascii="Arial" w:cs="Arial" w:eastAsia="Arial" w:hAnsi="Arial"/>
          <w:color w:val="2A6099"/>
          <w:sz w:val="21"/>
          <w:szCs w:val="21"/>
        </w:rPr>
      </w:r>
    </w:p>
    <w:p>
      <w:pPr>
        <w:spacing w:after="140" w:line="300"/>
        <w:ind w:left="567" w:hanging="567"/>
        <w:jc w:val="both"/>
      </w:pPr>
      <w:r>
        <w:rPr>
          <w:rFonts w:ascii="Arial" w:cs="Arial" w:eastAsia="Arial" w:hAnsi="Arial"/>
          <w:sz w:val="21"/>
          <w:szCs w:val="21"/>
        </w:rPr>
        <w:t xml:space="preserve">Radford, A., Kim, J. W., Xu, T., Brockman, G., McLeavey, C., y Sutskever, I. (2023). Robust speech recognition via large-scale weak supervision. Proceedings of ICML 2023, 28492–28518.</w:t>
      </w:r>
    </w:p>
    <w:p>
      <w:pPr>
        <w:spacing w:after="140" w:line="300"/>
        <w:ind w:left="567" w:hanging="567"/>
        <w:jc w:val="both"/>
      </w:pPr>
      <w:r>
        <w:rPr>
          <w:rFonts w:ascii="Arial" w:cs="Arial" w:eastAsia="Arial" w:hAnsi="Arial"/>
          <w:sz w:val="21"/>
          <w:szCs w:val="21"/>
        </w:rPr>
        <w:t xml:space="preserve">Reisenzein, R., Studtmann, M., y Horstmann, G. (2013). Coherence between emotion and facial expression: Evidence from laboratory experiments. Emotion Review, 5(1), 16–23. </w:t>
      </w:r>
      <w:r>
        <w:rPr>
          <w:rFonts w:ascii="Arial" w:cs="Arial" w:eastAsia="Arial" w:hAnsi="Arial"/>
          <w:color w:val="2A6099"/>
          <w:sz w:val="21"/>
          <w:szCs w:val="21"/>
        </w:rPr>
        <w:t xml:space="preserve">https://doi.org/10.1177/1754073912457228</w:t>
      </w:r>
    </w:p>
    <w:p>
      <w:pPr>
        <w:spacing w:after="140" w:line="300"/>
        <w:ind w:left="567" w:hanging="567"/>
        <w:jc w:val="both"/>
      </w:pPr>
      <w:r>
        <w:rPr>
          <w:rFonts w:ascii="Arial" w:cs="Arial" w:eastAsia="Arial" w:hAnsi="Arial"/>
          <w:sz w:val="21"/>
          <w:szCs w:val="21"/>
        </w:rPr>
        <w:t xml:space="preserve">Rojas-Andrade, G., et al. (2025). False positives in Colombia: State violence, ignorance and the epistemic struggles of victims. European Review of Latin American and Caribbean Studies, 119. </w:t>
      </w:r>
      <w:r>
        <w:rPr>
          <w:rFonts w:ascii="Arial" w:cs="Arial" w:eastAsia="Arial" w:hAnsi="Arial"/>
          <w:color w:val="2A6099"/>
          <w:sz w:val="21"/>
          <w:szCs w:val="21"/>
        </w:rPr>
        <w:t xml:space="preserve">https://doi.org/10.32992/erlacs.11238</w:t>
      </w:r>
    </w:p>
    <w:p>
      <w:pPr>
        <w:spacing w:after="140" w:line="300"/>
        <w:ind w:left="567" w:hanging="567"/>
        <w:jc w:val="both"/>
      </w:pPr>
      <w:r>
        <w:rPr>
          <w:rFonts w:ascii="Arial" w:cs="Arial" w:eastAsia="Arial" w:hAnsi="Arial"/>
          <w:sz w:val="21"/>
          <w:szCs w:val="21"/>
        </w:rPr>
        <w:t xml:space="preserve">Sap, M., Swayamdipta, S., Viswanathan, L., Zhou, X., Choi, Y., y Smith, N. A. (2017). Connotation frames of power and agency in modern films. Proceedings of EMNLP 2017, 2329–2334. </w:t>
      </w:r>
      <w:r>
        <w:rPr>
          <w:rFonts w:ascii="Arial" w:cs="Arial" w:eastAsia="Arial" w:hAnsi="Arial"/>
          <w:color w:val="2A6099"/>
          <w:sz w:val="21"/>
          <w:szCs w:val="21"/>
        </w:rPr>
        <w:t xml:space="preserve">https://doi.org/10.18653/v1/D17-1247</w:t>
      </w:r>
    </w:p>
    <w:p>
      <w:pPr>
        <w:spacing w:after="140" w:line="300"/>
        <w:ind w:left="567" w:hanging="567"/>
        <w:jc w:val="both"/>
      </w:pPr>
      <w:r>
        <w:rPr>
          <w:rFonts w:ascii="Arial" w:cs="Arial" w:eastAsia="Arial" w:hAnsi="Arial"/>
          <w:sz w:val="21"/>
          <w:szCs w:val="21"/>
        </w:rPr>
        <w:t xml:space="preserve">Searle, J. R. (1969). Speech acts: An essay in the philosophy of language. Cambridge University Press.</w:t>
      </w:r>
    </w:p>
    <w:p>
      <w:pPr>
        <w:spacing w:after="140" w:line="300"/>
        <w:ind w:left="567" w:hanging="567"/>
        <w:jc w:val="both"/>
      </w:pPr>
      <w:r>
        <w:rPr>
          <w:rFonts w:ascii="Arial" w:cs="Arial" w:eastAsia="Arial" w:hAnsi="Arial"/>
          <w:sz w:val="21"/>
          <w:szCs w:val="21"/>
        </w:rPr>
        <w:t>Sen, S., Singh, G., y Varshney, P. (2024). Deception detection using machine learning: A systematic review and transfer learning limitations from low-stakes to high-stakes contexts. Expert Systems with Applications, 213, 119048.</w:t>
      </w:r>
    </w:p>
    <w:p>
      <w:pPr>
        <w:spacing w:after="140" w:line="300"/>
        <w:ind w:left="567" w:hanging="567"/>
        <w:jc w:val="both"/>
      </w:pPr>
      <w:r>
        <w:rPr>
          <w:rFonts w:ascii="Arial" w:cs="Arial" w:eastAsia="Arial" w:hAnsi="Arial"/>
          <w:sz w:val="21"/>
          <w:szCs w:val="21"/>
        </w:rPr>
        <w:t xml:space="preserve">Swales, J. M. (1990). Genre analysis: English in academic and research settings. Cambridge University Press.</w:t>
      </w:r>
    </w:p>
    <w:p>
      <w:pPr>
        <w:spacing w:after="140" w:line="300"/>
        <w:ind w:left="567" w:hanging="567"/>
        <w:jc w:val="both"/>
      </w:pPr>
      <w:r>
        <w:rPr>
          <w:rFonts w:ascii="Arial" w:cs="Arial" w:eastAsia="Arial" w:hAnsi="Arial"/>
          <w:sz w:val="21"/>
          <w:szCs w:val="21"/>
        </w:rPr>
        <w:t xml:space="preserve">van de Schoot, R., Depaoli, S., King, R., Kramer, B., Märtens, K., Tadesse, M. G., Vannucci, M., Gelman, A., Veen, D., Willemsen, J., y Yau, C. (2021). Bayesian statistics and modelling. Nature Reviews Methods Primers, 1, 1. </w:t>
      </w:r>
      <w:r>
        <w:rPr>
          <w:rFonts w:ascii="Arial" w:cs="Arial" w:eastAsia="Arial" w:hAnsi="Arial"/>
          <w:color w:val="2A6099"/>
          <w:sz w:val="21"/>
          <w:szCs w:val="21"/>
        </w:rPr>
        <w:t xml:space="preserve">https://doi.org/10.1038/s43586-020-00001-2</w:t>
      </w:r>
    </w:p>
    <w:p>
      <w:pPr>
        <w:spacing w:after="140" w:line="300"/>
        <w:ind w:left="567" w:hanging="567"/>
        <w:jc w:val="both"/>
      </w:pPr>
      <w:r>
        <w:rPr>
          <w:rFonts w:ascii="Arial" w:cs="Arial" w:eastAsia="Arial" w:hAnsi="Arial"/>
          <w:sz w:val="21"/>
          <w:szCs w:val="21"/>
        </w:rPr>
        <w:t xml:space="preserve">Van Dijk, T. A. (2008). Discourse and power. Palgrave Macmillan.</w:t>
      </w:r>
    </w:p>
    <w:p>
      <w:pPr>
        <w:spacing w:after="140" w:line="300"/>
        <w:ind w:left="567" w:hanging="567"/>
        <w:jc w:val="both"/>
      </w:pPr>
      <w:r>
        <w:rPr>
          <w:rFonts w:ascii="Arial" w:cs="Arial" w:eastAsia="Arial" w:hAnsi="Arial"/>
          <w:sz w:val="21"/>
          <w:szCs w:val="21"/>
        </w:rPr>
        <w:t xml:space="preserve">Wolf, A. (2022). Presumed guilty until proven credible: Epistemic injustice toward Venezuelan immigrants in Colombia. Estudios de Filosofía, 66, 89–110.</w:t>
      </w:r>
    </w:p>
    <w:p>
      <w:pPr>
        <w:spacing w:after="140" w:line="300"/>
        <w:ind w:left="567" w:hanging="567"/>
        <w:jc w:val="both"/>
      </w:pPr>
      <w:r>
        <w:rPr>
          <w:rFonts w:ascii="Arial" w:cs="Arial" w:eastAsia="Arial" w:hAnsi="Arial"/>
          <w:sz w:val="21"/>
          <w:szCs w:val="21"/>
        </w:rPr>
        <w:t xml:space="preserve">Yang, W., Alsarra, S., Abdeljaber, L., Zawad, N., Delaram, Z., Osorio, J., Khan, L., Brandt, P., y D'Orazio, V. (2023). ConfliBERT-Spanish: A pre-trained Spanish language model for political conflict and violence. Proceedings of IEEE CiSt 2023, 287–292.</w:t>
      </w:r>
    </w:p>
    <w:p>
      <w:pPr>
        <w:spacing w:after="140" w:line="300"/>
        <w:ind w:left="567" w:hanging="567"/>
        <w:jc w:val="both"/>
      </w:pPr>
      <w:r>
        <w:rPr>
          <w:rFonts w:ascii="Arial" w:cs="Arial" w:eastAsia="Arial" w:hAnsi="Arial"/>
          <w:sz w:val="21"/>
          <w:szCs w:val="21"/>
        </w:rPr>
        <w:t xml:space="preserve">Yang, W., Hu, Y., Osorio, J., Khan, L., Brandt, P., y D'Orazio, V. (2022). ConfliBERT: A pre-trained language model for political conflict and violence. Proceedings of NAACL 2022, 5469–5482. </w:t>
      </w:r>
      <w:r>
        <w:rPr>
          <w:rFonts w:ascii="Arial" w:cs="Arial" w:eastAsia="Arial" w:hAnsi="Arial"/>
          <w:color w:val="2A6099"/>
          <w:sz w:val="21"/>
          <w:szCs w:val="21"/>
        </w:rPr>
        <w:t xml:space="preserve">https://doi.org/10.18653/v1/2022.naacl-main.400</w:t>
      </w:r>
    </w:p>
    <w:p>
      <w:pPr>
        <w:spacing w:after="140" w:line="300"/>
        <w:ind w:left="567" w:hanging="567"/>
        <w:jc w:val="both"/>
      </w:pPr>
      <w:r>
        <w:rPr>
          <w:rFonts w:ascii="Arial" w:cs="Arial" w:eastAsia="Arial" w:hAnsi="Arial"/>
          <w:sz w:val="21"/>
          <w:szCs w:val="21"/>
        </w:rPr>
        <w:t xml:space="preserve">Zehr, H. (2002). The little book of restorative justice. Good Books.</w:t>
      </w:r>
    </w:p>
    <w:p>
      <w:pPr>
        <w:spacing w:after="140" w:line="300"/>
        <w:ind w:left="567" w:hanging="567"/>
        <w:jc w:val="both"/>
      </w:pPr>
      <w:r>
        <w:rPr>
          <w:rFonts w:ascii="Arial" w:cs="Arial" w:eastAsia="Arial" w:hAnsi="Arial"/>
          <w:sz w:val="21"/>
          <w:szCs w:val="21"/>
        </w:rPr>
        <w:t xml:space="preserve">Zhong, H., Wang, Y., Tu, C., Zhang, T., Liu, Z., y Sun, M. (2020). Iteratively questioning and answering for interpretable legal judgment prediction. Proceedings of AAAI 2020, 1250–1257. </w:t>
      </w:r>
      <w:r>
        <w:rPr>
          <w:rFonts w:ascii="Arial" w:cs="Arial" w:eastAsia="Arial" w:hAnsi="Arial"/>
          <w:color w:val="2A6099"/>
          <w:sz w:val="21"/>
          <w:szCs w:val="21"/>
        </w:rPr>
        <w:t xml:space="preserve">https://doi.org/10.1609/aaai.v34i01.5479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xmlns:w15="http://schemas.microsoft.com/office/word/2012/wordml" w:abstractNumId="9" w15:restartNumberingAfterBreak="0">
    <w:multiLevelType w:val="hybridMultilevel"/>
    <w:lvl w:ilvl="0" w15:tentative="1">
      <w:start w:val="1"/>
      <w:numFmt w:val="bullet"/>
      <w:lvlText w:val="•"/>
      <w:lvlJc w:val="left"/>
      <w:pPr>
        <w:ind w:left="720" w:hanging="360"/>
      </w:pPr>
    </w:lvl>
  </w:abstractNum>
  <w:abstractNum xmlns:w15="http://schemas.microsoft.com/office/word/2012/wordml" w:abstractNumId="10" w15:restartNumberingAfterBreak="0">
    <w:multiLevelType w:val="hybridMultilevel"/>
    <w:lvl w:ilvl="0" w15:tentative="1">
      <w:start w:val="1"/>
      <w:numFmt w:val="bullet"/>
      <w:lvlText w:val="•"/>
      <w:lvlJc w:val="left"/>
      <w:pPr>
        <w:ind w:left="72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10">
    <w:abstractNumId w:val="9"/>
    <w:lvlOverride w:ilvl="0">
      <w:startOverride w:val="1"/>
    </w:lvlOverride>
  </w:num>
  <w:num w:numId="11">
    <w:abstractNumId w:val="10"/>
    <w:lvlOverride w:ilvl="0">
      <w:startOverride w:val="1"/>
    </w:lvlOverride>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FootnoteReference">
    <w:name w:val="footnote reference"/>
    <w:basedOn w:val="DefaultParagraphFont"/>
    <w:uiPriority w:val="99"/>
    <w:semiHidden/>
    <w:unhideWhenUsed/>
    <w:rPr>
      <w:vertAlign w:val="superscript"/>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