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 Esta independencia es metodológicamente relevante: el coeficiente positivo de y₄ NV sobre y₁₀ REP en el path analysis (β=+0.058, p=0.004) revela que la coexistencia de NV y REP en los mismos segmentos no es paradójica sino estructural — el Corpus B cita el vocabulario NV original para refutarlo mediante metalenguaje citativo, lo que produce la correlación negativa observada entre los componentes del DIS.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
El tamaño de efecto (Cohen's d) calculado sobre N_B=214 secciones confirma la robustez de los hallazgos principales: y₁₀ REP muestra el efecto más grande (d=0.514, p&lt;0.001), seguido por el DIS sintético (d=0.335, p&lt;0.001) e y₂ SA (d=0.257, p=0.023). El indicador y₄ NV no alcanza significación individual (d=0.324, p=0.354 n.s.), coherente con el hallazgo de §5.2.4 sobre la coexistencia de NV y REP por metalenguaje citativo en el Corpus B. Según la escala de Cohen (1988), los efectos de REP (d=0.514) y DIS (d=0.335) son efectos medianos — sustancialmente interpretables en el contexto del análisis de corpus judiciales.
Para evaluar la robustez de los pesos del DIS Score, se realizó un análisis de sensibilidad sobre 171 combinaciones sistemáticas de pesos (paso Δ=0.05, condición w_SA + w_NV + w_REP = 1.0). El 43.3% de las combinaciones (74/171) produce separación estadísticamente significativa A vs B (p&lt;0.05), con un d_cohen máximo de 0.496. Los pesos teóricos habermasianos (w_SA=0.35, w_NV=0.35, w_REP=0.30) producen d=0.204, dentro del rango de variación estable. Este resultado indica que el hallazgo A vs B no depende de la especificación exacta de los pesos sino que refleja una diferencia estructural entre los dos sistemas de justicia.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ICM disponible con N=32 frames (MediaPipe FaceLandmarker).</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tiene ICM disponible con N=32 frames procesados con MediaPipe FaceLandmarker — cobertura notablemente menor que los demás subcasos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Barrett, L. F., Adolphs, R., Marsella, S., Martinez, A. M., y Pollak, S. D. (2019). Emotional Expressions Reconsidered: Challenges to Inferring Emotion From Human Facial Movements. Psychological Science in the Public Interest, 20(1), 1–68.
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