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Una segunda limitación metodológica es la normalización por percentil del propio corpus: los indicadores y₂–y₄ e y₁₀ se normalizan usando los percentiles de la distribución interna del corpus A+B, lo que los hace dependientes del tamaño y composición del corpus y limita su comparabilidad estricta con corpus externos. Esta limitación afecta principalmente la comparación entre el corpus original y cualquier extensión futura del análisis, pero no invalida la comparación interna A vs B que es el objeto central de la investigación.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