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Times New Roman" w:cs="Times New Roman" w:eastAsia="Times New Roman" w:hAnsi="Times New Roman"/>
          <w:b/>
          <w:bCs/>
          <w:color w:val="0D2137"/>
          <w:sz w:val="28"/>
          <w:szCs w:val="28"/>
        </w:rPr>
        <w:t xml:space="preserve">CFH — Análisis Estadístico Comparativo A vs B vs C</w:t>
      </w:r>
    </w:p>
    <w:p>
      <w:pPr>
        <w:spacing w:after="180" w:line="340"/>
        <w:jc w:val="both"/>
      </w:pPr>
      <w:r>
        <w:rPr>
          <w:rFonts w:ascii="Times New Roman" w:cs="Times New Roman" w:eastAsia="Times New Roman" w:hAnsi="Times New Roman"/>
          <w:color w:val="000000"/>
          <w:sz w:val="20"/>
          <w:szCs w:val="20"/>
        </w:rPr>
        <w:t xml:space="preserve">Análisis estadístico completo del framework CFH sobre los tres corpora. Todos los indicadores han sido calculados sobre el corpus real (873 secciones A, 145 secciones B, 538 bloques C). Las pruebas estadísticas son Mann-Whitney U bilateral (A vs B) con corrección de Bonferroni para comparaciones múltiples. El Corpus C se reporta descriptivamente por subcaso dado el tamaño diferencial de los grupos.</w:t>
      </w:r>
    </w:p>
    <w:p>
      <w:pPr>
        <w:spacing w:after="80"/>
      </w:pPr>
      <w:r>
        <w:rPr>
          <w:rFonts w:ascii="Times New Roman" w:cs="Times New Roman" w:eastAsia="Times New Roman" w:hAnsi="Times New Roman"/>
          <w:color w:val="000000"/>
          <w:sz w:val="20"/>
          <w:szCs w:val="20"/>
        </w:rPr>
        <w:t xml:space="preserve"/>
      </w:r>
    </w:p>
    <w:p>
      <w:pPr>
        <w:pStyle w:val="Heading2"/>
        <w:spacing w:after="160" w:before="280"/>
      </w:pPr>
      <w:r>
        <w:rPr>
          <w:rFonts w:ascii="Times New Roman" w:cs="Times New Roman" w:eastAsia="Times New Roman" w:hAnsi="Times New Roman"/>
          <w:b/>
          <w:bCs/>
          <w:color w:val="000000"/>
          <w:sz w:val="24"/>
          <w:szCs w:val="24"/>
        </w:rPr>
        <w:t xml:space="preserve">Tabla 1. Indicadores CFH por corpus y subcaso — medias descriptivas</w:t>
      </w:r>
    </w:p>
    <w:p>
      <w:pPr>
        <w:spacing w:after="180" w:line="340"/>
        <w:jc w:val="both"/>
      </w:pPr>
      <w:r>
        <w:rPr>
          <w:rFonts w:ascii="Times New Roman" w:cs="Times New Roman" w:eastAsia="Times New Roman" w:hAnsi="Times New Roman"/>
          <w:color w:val="000000"/>
          <w:sz w:val="20"/>
          <w:szCs w:val="20"/>
        </w:rPr>
        <w:t xml:space="preserve">Azul = Corpus A (justicia ordinaria) | Verde = Corpus B (JEP escrito) | Naranja = Corpus C (JEP oral). y₂ SA, y₄ NV, y₈ y y₉: menor = mejor (menos violencia, más cercano). y₁₀ REP: mayor = mejor.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900"/>
        <w:gridCol w:w="900"/>
        <w:gridCol w:w="1326"/>
      </w:tblGrid>
      <w:tr>
        <w:tc>
          <w:tcPr>
            <w:tcW w:type="dxa" w:w="14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Indicador</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A-CE</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A-CSJ</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B (JEP)</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C Casanare</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C Catatumbo</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C Dabeiba</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C Huila</w:t>
            </w:r>
          </w:p>
        </w:tc>
        <w:tc>
          <w:tcPr>
            <w:tcW w:type="dxa" w:w="1326"/>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C Costa C.</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y₂ SA</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0.921</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0.934</w:t>
            </w:r>
          </w:p>
        </w:tc>
        <w:tc>
          <w:tcPr>
            <w:tcW w:type="dxa" w:w="900"/>
            <w:shd w:fill="E8F5F3"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0.832</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0.974</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0.532</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0.771</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0.794</w:t>
            </w:r>
          </w:p>
        </w:tc>
        <w:tc>
          <w:tcPr>
            <w:tcW w:type="dxa" w:w="1326"/>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0.799</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y₄ NV</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0.310</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0.298</w:t>
            </w:r>
          </w:p>
        </w:tc>
        <w:tc>
          <w:tcPr>
            <w:tcW w:type="dxa" w:w="900"/>
            <w:shd w:fill="E8F5F3"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0.264</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0.483</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0.220</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0.211</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0.226</w:t>
            </w:r>
          </w:p>
        </w:tc>
        <w:tc>
          <w:tcPr>
            <w:tcW w:type="dxa" w:w="1326"/>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0.373</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y₁₀ REP</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0.101</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0.059</w:t>
            </w:r>
          </w:p>
        </w:tc>
        <w:tc>
          <w:tcPr>
            <w:tcW w:type="dxa" w:w="900"/>
            <w:shd w:fill="E8F5F3"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0.153</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0.118</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0.121</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0.066</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0.147</w:t>
            </w:r>
          </w:p>
        </w:tc>
        <w:tc>
          <w:tcPr>
            <w:tcW w:type="dxa" w:w="1326"/>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0.136</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y₈ MAFAPO</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0.211</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0.211</w:t>
            </w:r>
          </w:p>
        </w:tc>
        <w:tc>
          <w:tcPr>
            <w:tcW w:type="dxa" w:w="900"/>
            <w:shd w:fill="E8F5F3"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0.191</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0.193</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0.207</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0.189</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0.186</w:t>
            </w:r>
          </w:p>
        </w:tc>
        <w:tc>
          <w:tcPr>
            <w:tcW w:type="dxa" w:w="1326"/>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0.189</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y₉ CIDH</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0.254</w:t>
            </w:r>
          </w:p>
        </w:tc>
        <w:tc>
          <w:tcPr>
            <w:tcW w:type="dxa" w:w="900"/>
            <w:shd w:fill="DBEAF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0.254</w:t>
            </w:r>
          </w:p>
        </w:tc>
        <w:tc>
          <w:tcPr>
            <w:tcW w:type="dxa" w:w="900"/>
            <w:shd w:fill="E8F5F3"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0.235</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0.264</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0.271</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0.262</w:t>
            </w:r>
          </w:p>
        </w:tc>
        <w:tc>
          <w:tcPr>
            <w:tcW w:type="dxa" w:w="900"/>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0.263</w:t>
            </w:r>
          </w:p>
        </w:tc>
        <w:tc>
          <w:tcPr>
            <w:tcW w:type="dxa" w:w="1326"/>
            <w:shd w:fill="FFF9E6"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0.259</w:t>
            </w:r>
          </w:p>
        </w:tc>
      </w:tr>
    </w:tbl>
    <w:p>
      <w:pPr>
        <w:spacing w:after="80"/>
      </w:pPr>
      <w:r>
        <w:rPr>
          <w:rFonts w:ascii="Times New Roman" w:cs="Times New Roman" w:eastAsia="Times New Roman" w:hAnsi="Times New Roman"/>
          <w:color w:val="000000"/>
          <w:sz w:val="20"/>
          <w:szCs w:val="20"/>
        </w:rPr>
        <w:t xml:space="preserve"/>
      </w:r>
    </w:p>
    <w:p>
      <w:pPr>
        <w:pStyle w:val="Heading2"/>
        <w:spacing w:after="160" w:before="280"/>
      </w:pPr>
      <w:r>
        <w:rPr>
          <w:rFonts w:ascii="Times New Roman" w:cs="Times New Roman" w:eastAsia="Times New Roman" w:hAnsi="Times New Roman"/>
          <w:b/>
          <w:bCs/>
          <w:color w:val="000000"/>
          <w:sz w:val="24"/>
          <w:szCs w:val="24"/>
        </w:rPr>
        <w:t xml:space="preserve">Tabla 2. ICM tri-canal ponderado por subcaso — Corpus C</w:t>
      </w:r>
    </w:p>
    <w:p>
      <w:pPr>
        <w:spacing w:after="180" w:line="340"/>
        <w:jc w:val="both"/>
      </w:pPr>
      <w:r>
        <w:rPr>
          <w:rFonts w:ascii="Times New Roman" w:cs="Times New Roman" w:eastAsia="Times New Roman" w:hAnsi="Times New Roman"/>
          <w:color w:val="000000"/>
          <w:sz w:val="20"/>
          <w:szCs w:val="20"/>
        </w:rPr>
        <w:t xml:space="preserve">ICM_tri = 0.40×facial + 0.40×vocal + 0.20×verbal. ICM_verbal = 1 − (y₈ − y₈_min)/(y₈_max − y₈_min). Verde ≥ 0.45 | Amarillo 0.35–0.45 | Rojo &lt; 0.35.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1000"/>
        <w:gridCol w:w="900"/>
        <w:gridCol w:w="2026"/>
      </w:tblGrid>
      <w:tr>
        <w:tc>
          <w:tcPr>
            <w:tcW w:type="dxa" w:w="14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Subcaso</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ICM facial</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ICM vocal</w:t>
            </w:r>
          </w:p>
        </w:tc>
        <w:tc>
          <w:tcPr>
            <w:tcW w:type="dxa" w:w="10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ICM verbal</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ICM tri-canal</w:t>
            </w:r>
          </w:p>
        </w:tc>
        <w:tc>
          <w:tcPr>
            <w:tcW w:type="dxa" w:w="2026"/>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Interpretación</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Casanare</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0.190</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0.415</w:t>
            </w:r>
          </w:p>
        </w:tc>
        <w:tc>
          <w:tcPr>
            <w:tcW w:type="dxa" w:w="10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0.667</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0.375</w:t>
            </w:r>
          </w:p>
        </w:tc>
        <w:tc>
          <w:tcPr>
            <w:tcW w:type="dxa" w:w="20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5"/>
                <w:szCs w:val="15"/>
              </w:rPr>
              <w:t xml:space="preserve">Canal vocal↑ vs facial↓ — máxima divergencia (Δ=0.225)</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Catatumbo</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0.272</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0.317</w:t>
            </w:r>
          </w:p>
        </w:tc>
        <w:tc>
          <w:tcPr>
            <w:tcW w:type="dxa" w:w="10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0.000</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0.236</w:t>
            </w:r>
          </w:p>
        </w:tc>
        <w:tc>
          <w:tcPr>
            <w:tcW w:type="dxa" w:w="20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5"/>
                <w:szCs w:val="15"/>
              </w:rPr>
              <w:t xml:space="preserve">Gramática directa pero semántica distante de MAFAPO</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Dabeiba</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0.353</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0.452</w:t>
            </w:r>
          </w:p>
        </w:tc>
        <w:tc>
          <w:tcPr>
            <w:tcW w:type="dxa" w:w="10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0.857</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0.493</w:t>
            </w:r>
          </w:p>
        </w:tc>
        <w:tc>
          <w:tcPr>
            <w:tcW w:type="dxa" w:w="20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5"/>
                <w:szCs w:val="15"/>
              </w:rPr>
              <w:t xml:space="preserve">Mayor congruencia — materialidad 49 fosas Las Mercedes</w:t>
            </w:r>
          </w:p>
        </w:tc>
      </w:tr>
      <w:tr>
        <w:tc>
          <w:tcPr>
            <w:tcW w:type="dxa" w:w="14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Huila</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0.299</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0.334</w:t>
            </w:r>
          </w:p>
        </w:tc>
        <w:tc>
          <w:tcPr>
            <w:tcW w:type="dxa" w:w="10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1.000</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0.453</w:t>
            </w:r>
          </w:p>
        </w:tc>
        <w:tc>
          <w:tcPr>
            <w:tcW w:type="dxa" w:w="20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5"/>
                <w:szCs w:val="15"/>
              </w:rPr>
              <w:t xml:space="preserve">Más cercano a MAFAPO (y₈=0.186) — máximo y₁₀ REP</w:t>
            </w:r>
          </w:p>
        </w:tc>
      </w:tr>
    </w:tbl>
    <w:p>
      <w:pPr>
        <w:spacing w:after="80"/>
      </w:pPr>
      <w:r>
        <w:rPr>
          <w:rFonts w:ascii="Times New Roman" w:cs="Times New Roman" w:eastAsia="Times New Roman" w:hAnsi="Times New Roman"/>
          <w:color w:val="000000"/>
          <w:sz w:val="20"/>
          <w:szCs w:val="20"/>
        </w:rPr>
        <w:t xml:space="preserve"/>
      </w:r>
    </w:p>
    <w:p>
      <w:pPr>
        <w:pStyle w:val="Heading2"/>
        <w:spacing w:after="160" w:before="280"/>
      </w:pPr>
      <w:r>
        <w:rPr>
          <w:rFonts w:ascii="Times New Roman" w:cs="Times New Roman" w:eastAsia="Times New Roman" w:hAnsi="Times New Roman"/>
          <w:b/>
          <w:bCs/>
          <w:color w:val="000000"/>
          <w:sz w:val="24"/>
          <w:szCs w:val="24"/>
        </w:rPr>
        <w:t xml:space="preserve">Tabla 3. Pruebas estadísticas A vs B — Mann-Whitney U con corrección Bonferroni</w:t>
      </w:r>
    </w:p>
    <w:p>
      <w:pPr>
        <w:spacing w:after="180" w:line="340"/>
        <w:jc w:val="both"/>
      </w:pPr>
      <w:r>
        <w:rPr>
          <w:rFonts w:ascii="Times New Roman" w:cs="Times New Roman" w:eastAsia="Times New Roman" w:hAnsi="Times New Roman"/>
          <w:color w:val="000000"/>
          <w:sz w:val="20"/>
          <w:szCs w:val="20"/>
        </w:rPr>
        <w:t xml:space="preserve">*** p&lt;0.001 | ** p&lt;0.01 | * p&lt;0.05 | n.s. = no significativo. Todos los tests son bilaterales. Corrección Bonferroni aplicada a 6 comparaciones simultáneas (α_ajustado=0.008).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000"/>
        <w:gridCol w:w="800"/>
        <w:gridCol w:w="800"/>
        <w:gridCol w:w="800"/>
        <w:gridCol w:w="2226"/>
      </w:tblGrid>
      <w:tr>
        <w:tc>
          <w:tcPr>
            <w:tcW w:type="dxa" w:w="14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Indicador</w:t>
            </w:r>
          </w:p>
        </w:tc>
        <w:tc>
          <w:tcPr>
            <w:tcW w:type="dxa" w:w="10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Media A</w:t>
            </w:r>
          </w:p>
        </w:tc>
        <w:tc>
          <w:tcPr>
            <w:tcW w:type="dxa" w:w="10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Media B</w:t>
            </w:r>
          </w:p>
        </w:tc>
        <w:tc>
          <w:tcPr>
            <w:tcW w:type="dxa" w:w="8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Δ</w:t>
            </w:r>
          </w:p>
        </w:tc>
        <w:tc>
          <w:tcPr>
            <w:tcW w:type="dxa" w:w="8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Z/U</w:t>
            </w:r>
          </w:p>
        </w:tc>
        <w:tc>
          <w:tcPr>
            <w:tcW w:type="dxa" w:w="8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p-valor</w:t>
            </w:r>
          </w:p>
        </w:tc>
        <w:tc>
          <w:tcPr>
            <w:tcW w:type="dxa" w:w="2226"/>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Interpretación</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y₂ SA</w:t>
            </w:r>
          </w:p>
        </w:tc>
        <w:tc>
          <w:tcPr>
            <w:tcW w:type="dxa" w:w="10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0.927</w:t>
            </w:r>
          </w:p>
        </w:tc>
        <w:tc>
          <w:tcPr>
            <w:tcW w:type="dxa" w:w="10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0.832</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-0.095</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z=−4.21</w:t>
            </w:r>
          </w:p>
        </w:tc>
        <w:tc>
          <w:tcPr>
            <w:tcW w:type="dxa" w:w="8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&lt;0.001***</w:t>
            </w:r>
          </w:p>
        </w:tc>
        <w:tc>
          <w:tcPr>
            <w:tcW w:type="dxa" w:w="2226"/>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menos pasivizado — significativo</w:t>
            </w:r>
          </w:p>
        </w:tc>
      </w:tr>
      <w:tr>
        <w:tc>
          <w:tcPr>
            <w:tcW w:type="dxa" w:w="14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y₄ NV</w:t>
            </w:r>
          </w:p>
        </w:tc>
        <w:tc>
          <w:tcPr>
            <w:tcW w:type="dxa" w:w="10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0.305</w:t>
            </w:r>
          </w:p>
        </w:tc>
        <w:tc>
          <w:tcPr>
            <w:tcW w:type="dxa" w:w="10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0.264</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-0.041</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z=−2.87</w:t>
            </w:r>
          </w:p>
        </w:tc>
        <w:tc>
          <w:tcPr>
            <w:tcW w:type="dxa" w:w="8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0.004**</w:t>
            </w:r>
          </w:p>
        </w:tc>
        <w:tc>
          <w:tcPr>
            <w:tcW w:type="dxa" w:w="2226"/>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menor negación de victimización</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y₁₀ REP</w:t>
            </w:r>
          </w:p>
        </w:tc>
        <w:tc>
          <w:tcPr>
            <w:tcW w:type="dxa" w:w="10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0.086</w:t>
            </w:r>
          </w:p>
        </w:tc>
        <w:tc>
          <w:tcPr>
            <w:tcW w:type="dxa" w:w="10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0.153</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+0.067</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z=+6.12</w:t>
            </w:r>
          </w:p>
        </w:tc>
        <w:tc>
          <w:tcPr>
            <w:tcW w:type="dxa" w:w="8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&lt;0.001***</w:t>
            </w:r>
          </w:p>
        </w:tc>
        <w:tc>
          <w:tcPr>
            <w:tcW w:type="dxa" w:w="2226"/>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mayor lenguaje reparatorio</w:t>
            </w:r>
          </w:p>
        </w:tc>
      </w:tr>
      <w:tr>
        <w:tc>
          <w:tcPr>
            <w:tcW w:type="dxa" w:w="14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y₈ MAFAPO</w:t>
            </w:r>
          </w:p>
        </w:tc>
        <w:tc>
          <w:tcPr>
            <w:tcW w:type="dxa" w:w="10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0.211</w:t>
            </w:r>
          </w:p>
        </w:tc>
        <w:tc>
          <w:tcPr>
            <w:tcW w:type="dxa" w:w="10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0.191</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-0.020</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z=−3.94</w:t>
            </w:r>
          </w:p>
        </w:tc>
        <w:tc>
          <w:tcPr>
            <w:tcW w:type="dxa" w:w="8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&lt;0.001***</w:t>
            </w:r>
          </w:p>
        </w:tc>
        <w:tc>
          <w:tcPr>
            <w:tcW w:type="dxa" w:w="2226"/>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más cercano a víctimas</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y₉ CIDH</w:t>
            </w:r>
          </w:p>
        </w:tc>
        <w:tc>
          <w:tcPr>
            <w:tcW w:type="dxa" w:w="10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0.254</w:t>
            </w:r>
          </w:p>
        </w:tc>
        <w:tc>
          <w:tcPr>
            <w:tcW w:type="dxa" w:w="10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0.235</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-0.019</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z=−3.76</w:t>
            </w:r>
          </w:p>
        </w:tc>
        <w:tc>
          <w:tcPr>
            <w:tcW w:type="dxa" w:w="8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&lt;0.001***</w:t>
            </w:r>
          </w:p>
        </w:tc>
        <w:tc>
          <w:tcPr>
            <w:tcW w:type="dxa" w:w="2226"/>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más cercano a estándares DDHH</w:t>
            </w:r>
          </w:p>
        </w:tc>
      </w:tr>
      <w:tr>
        <w:tc>
          <w:tcPr>
            <w:tcW w:type="dxa" w:w="14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y₃ Civil</w:t>
            </w:r>
          </w:p>
        </w:tc>
        <w:tc>
          <w:tcPr>
            <w:tcW w:type="dxa" w:w="1000"/>
            <w:shd w:fill="FFFFFF"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0.927</w:t>
            </w:r>
          </w:p>
        </w:tc>
        <w:tc>
          <w:tcPr>
            <w:tcW w:type="dxa" w:w="10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0.832</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-0.095</w:t>
            </w:r>
          </w:p>
        </w:tc>
        <w:tc>
          <w:tcPr>
            <w:tcW w:type="dxa" w:w="800"/>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z=−4.05</w:t>
            </w:r>
          </w:p>
        </w:tc>
        <w:tc>
          <w:tcPr>
            <w:tcW w:type="dxa" w:w="8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&lt;0.001***</w:t>
            </w:r>
          </w:p>
        </w:tc>
        <w:tc>
          <w:tcPr>
            <w:tcW w:type="dxa" w:w="2226"/>
            <w:shd w:fill="FFFFFF"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B léxico más civil</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y₁ EBI</w:t>
            </w:r>
          </w:p>
        </w:tc>
        <w:tc>
          <w:tcPr>
            <w:tcW w:type="dxa" w:w="10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6"/>
                <w:szCs w:val="16"/>
              </w:rPr>
              <w:t xml:space="preserve">—</w:t>
            </w:r>
          </w:p>
        </w:tc>
        <w:tc>
          <w:tcPr>
            <w:tcW w:type="dxa" w:w="10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w:t>
            </w:r>
          </w:p>
        </w:tc>
        <w:tc>
          <w:tcPr>
            <w:tcW w:type="dxa" w:w="800"/>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n/a</w:t>
            </w:r>
          </w:p>
        </w:tc>
        <w:tc>
          <w:tcPr>
            <w:tcW w:type="dxa" w:w="800"/>
            <w:shd w:fill="F0F0F0"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n/a</w:t>
            </w:r>
          </w:p>
        </w:tc>
        <w:tc>
          <w:tcPr>
            <w:tcW w:type="dxa" w:w="2226"/>
            <w:shd w:fill="F5F5F5"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No calculado en versión actual</w:t>
            </w:r>
          </w:p>
        </w:tc>
      </w:tr>
    </w:tbl>
    <w:p>
      <w:pPr>
        <w:spacing w:after="80"/>
      </w:pPr>
      <w:r>
        <w:rPr>
          <w:rFonts w:ascii="Times New Roman" w:cs="Times New Roman" w:eastAsia="Times New Roman" w:hAnsi="Times New Roman"/>
          <w:color w:val="000000"/>
          <w:sz w:val="20"/>
          <w:szCs w:val="20"/>
        </w:rPr>
        <w:t xml:space="preserve"/>
      </w:r>
    </w:p>
    <w:p>
      <w:pPr>
        <w:pStyle w:val="Heading2"/>
        <w:spacing w:after="160" w:before="280"/>
      </w:pPr>
      <w:r>
        <w:rPr>
          <w:rFonts w:ascii="Times New Roman" w:cs="Times New Roman" w:eastAsia="Times New Roman" w:hAnsi="Times New Roman"/>
          <w:b/>
          <w:bCs/>
          <w:color w:val="000000"/>
          <w:sz w:val="24"/>
          <w:szCs w:val="24"/>
        </w:rPr>
        <w:t xml:space="preserve">Tabla 4. Perfil multi-indicador Corpus C — semáforo por subcaso</w:t>
      </w:r>
    </w:p>
    <w:p>
      <w:pPr>
        <w:spacing w:after="180" w:line="340"/>
        <w:jc w:val="both"/>
      </w:pPr>
      <w:r>
        <w:rPr>
          <w:rFonts w:ascii="Times New Roman" w:cs="Times New Roman" w:eastAsia="Times New Roman" w:hAnsi="Times New Roman"/>
          <w:color w:val="000000"/>
          <w:sz w:val="20"/>
          <w:szCs w:val="20"/>
        </w:rPr>
        <w:t xml:space="preserve">Verde = valor favorable (menor distancia / mayor REP / mayor ICM). Rojo = valor desfavorable. Amarillo = intermedio. Costa Caribe: sin ICM por DRM en video.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900"/>
        <w:gridCol w:w="900"/>
        <w:gridCol w:w="900"/>
        <w:gridCol w:w="900"/>
        <w:gridCol w:w="900"/>
        <w:gridCol w:w="1326"/>
      </w:tblGrid>
      <w:tr>
        <w:tc>
          <w:tcPr>
            <w:tcW w:type="dxa" w:w="14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Subcaso</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y₂ SA</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y₄ NV</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y₁₀ REP</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y₈ MAF</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y₉ CIDH</w:t>
            </w:r>
          </w:p>
        </w:tc>
        <w:tc>
          <w:tcPr>
            <w:tcW w:type="dxa" w:w="900"/>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ICM_tri</w:t>
            </w:r>
          </w:p>
        </w:tc>
        <w:tc>
          <w:tcPr>
            <w:tcW w:type="dxa" w:w="1326"/>
            <w:shd w:fill="0D2137"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FFFFFF"/>
                <w:sz w:val="16"/>
                <w:szCs w:val="16"/>
              </w:rPr>
              <w:t xml:space="preserve">Perfil</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b/>
                <w:bCs/>
                <w:color w:val="000000"/>
                <w:sz w:val="16"/>
                <w:szCs w:val="16"/>
              </w:rPr>
              <w:t xml:space="preserve">casanare</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0.974</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0.483</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0.118</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0.193</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0.264</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0.375</w:t>
            </w:r>
          </w:p>
        </w:tc>
        <w:tc>
          <w:tcPr>
            <w:tcW w:type="dxa" w:w="13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4"/>
                <w:szCs w:val="14"/>
              </w:rPr>
              <w:t xml:space="preserve">Alta distancia — máxima disociación vocal/facial</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b/>
                <w:bCs/>
                <w:color w:val="000000"/>
                <w:sz w:val="16"/>
                <w:szCs w:val="16"/>
              </w:rPr>
              <w:t xml:space="preserve">catatumbo</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0.532</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0.220</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0.121</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0.207</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0.271</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0.236</w:t>
            </w:r>
          </w:p>
        </w:tc>
        <w:tc>
          <w:tcPr>
            <w:tcW w:type="dxa" w:w="13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4"/>
                <w:szCs w:val="14"/>
              </w:rPr>
              <w:t xml:space="preserve">Directa-semánticamente distante — contraintuitivo</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b/>
                <w:bCs/>
                <w:color w:val="000000"/>
                <w:sz w:val="16"/>
                <w:szCs w:val="16"/>
              </w:rPr>
              <w:t xml:space="preserve">dabeiba</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0.771</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0.211</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0.066</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0.189</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0.262</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0.493</w:t>
            </w:r>
          </w:p>
        </w:tc>
        <w:tc>
          <w:tcPr>
            <w:tcW w:type="dxa" w:w="13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4"/>
                <w:szCs w:val="14"/>
              </w:rPr>
              <w:t xml:space="preserve">Mayor congruencia multi-canal — referencia corpus</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b/>
                <w:bCs/>
                <w:color w:val="000000"/>
                <w:sz w:val="16"/>
                <w:szCs w:val="16"/>
              </w:rPr>
              <w:t xml:space="preserve">huila</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0.794</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0.226</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0.147</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0.186</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0.263</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0.453</w:t>
            </w:r>
          </w:p>
        </w:tc>
        <w:tc>
          <w:tcPr>
            <w:tcW w:type="dxa" w:w="13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4"/>
                <w:szCs w:val="14"/>
              </w:rPr>
              <w:t xml:space="preserve">Más cercano a víctimas — mayor REP</w:t>
            </w:r>
          </w:p>
        </w:tc>
      </w:tr>
      <w:tr>
        <w:tc>
          <w:tcPr>
            <w:tcW w:type="dxa" w:w="1400"/>
            <w:shd w:fill="F5F5F5"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b/>
                <w:bCs/>
                <w:color w:val="000000"/>
                <w:sz w:val="16"/>
                <w:szCs w:val="16"/>
              </w:rPr>
              <w:t xml:space="preserve">costa_caribe</w:t>
            </w:r>
          </w:p>
        </w:tc>
        <w:tc>
          <w:tcPr>
            <w:tcW w:type="dxa" w:w="900"/>
            <w:shd w:fill="FFF3CD"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0.799</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0.373</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0.136</w:t>
            </w:r>
          </w:p>
        </w:tc>
        <w:tc>
          <w:tcPr>
            <w:tcW w:type="dxa" w:w="900"/>
            <w:shd w:fill="D4ED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0.189</w:t>
            </w:r>
          </w:p>
        </w:tc>
        <w:tc>
          <w:tcPr>
            <w:tcW w:type="dxa" w:w="900"/>
            <w:shd w:fill="F8D7DA"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color w:val="000000"/>
                <w:sz w:val="16"/>
                <w:szCs w:val="16"/>
              </w:rPr>
              <w:t xml:space="preserve">0.259</w:t>
            </w:r>
          </w:p>
        </w:tc>
        <w:tc>
          <w:tcPr>
            <w:tcW w:type="dxa" w:w="900"/>
            <w:shd w:fill="EEEEEE" w:color="auto" w:val="clear"/>
            <w:tcMar>
              <w:top w:type="dxa" w:w="80"/>
              <w:left w:type="dxa" w:w="100"/>
              <w:bottom w:type="dxa" w:w="80"/>
              <w:right w:type="dxa" w:w="100"/>
            </w:tcMar>
          </w:tcPr>
          <w:p>
            <w:pPr>
              <w:spacing w:after="40" w:before="40"/>
              <w:jc w:val="center"/>
            </w:pPr>
            <w:r>
              <w:rPr>
                <w:rFonts w:ascii="Times New Roman" w:cs="Times New Roman" w:eastAsia="Times New Roman" w:hAnsi="Times New Roman"/>
                <w:b/>
                <w:bCs/>
                <w:color w:val="000000"/>
                <w:sz w:val="16"/>
                <w:szCs w:val="16"/>
              </w:rPr>
              <w:t xml:space="preserve">N/D</w:t>
            </w:r>
          </w:p>
        </w:tc>
        <w:tc>
          <w:tcPr>
            <w:tcW w:type="dxa" w:w="1326"/>
            <w:shd w:fill="FAFAFA" w:color="auto" w:val="clear"/>
            <w:tcMar>
              <w:top w:type="dxa" w:w="80"/>
              <w:left w:type="dxa" w:w="100"/>
              <w:bottom w:type="dxa" w:w="80"/>
              <w:right w:type="dxa" w:w="100"/>
            </w:tcMar>
          </w:tcPr>
          <w:p>
            <w:pPr>
              <w:spacing w:after="40" w:before="40"/>
              <w:jc w:val="left"/>
            </w:pPr>
            <w:r>
              <w:rPr>
                <w:rFonts w:ascii="Times New Roman" w:cs="Times New Roman" w:eastAsia="Times New Roman" w:hAnsi="Times New Roman"/>
                <w:color w:val="000000"/>
                <w:sz w:val="14"/>
                <w:szCs w:val="14"/>
              </w:rPr>
              <w:t xml:space="preserve">Alta NV — sin ICM (DRM)</w:t>
            </w:r>
          </w:p>
        </w:tc>
      </w:tr>
    </w:tbl>
    <w:p>
      <w:pPr>
        <w:spacing w:after="80"/>
      </w:pPr>
      <w:r>
        <w:rPr>
          <w:rFonts w:ascii="Times New Roman" w:cs="Times New Roman" w:eastAsia="Times New Roman" w:hAnsi="Times New Roman"/>
          <w:color w:val="000000"/>
          <w:sz w:val="20"/>
          <w:szCs w:val="20"/>
        </w:rPr>
        <w:t xml:space="preserve"/>
      </w:r>
    </w:p>
    <w:p>
      <w:pPr>
        <w:pStyle w:val="Heading2"/>
        <w:spacing w:after="160" w:before="280"/>
      </w:pPr>
      <w:r>
        <w:rPr>
          <w:rFonts w:ascii="Times New Roman" w:cs="Times New Roman" w:eastAsia="Times New Roman" w:hAnsi="Times New Roman"/>
          <w:b/>
          <w:bCs/>
          <w:color w:val="000000"/>
          <w:sz w:val="24"/>
          <w:szCs w:val="24"/>
        </w:rPr>
        <w:t xml:space="preserve">Hallazgos estadísticos principales</w:t>
      </w:r>
    </w:p>
    <w:p>
      <w:pPr>
        <w:spacing w:after="180" w:line="340"/>
        <w:jc w:val="both"/>
      </w:pPr>
      <w:r>
        <w:rPr>
          <w:rFonts w:ascii="Times New Roman" w:cs="Times New Roman" w:eastAsia="Times New Roman" w:hAnsi="Times New Roman"/>
          <w:color w:val="000000"/>
          <w:sz w:val="20"/>
          <w:szCs w:val="20"/>
        </w:rPr>
        <w:t xml:space="preserve">1. BRECHA ESTRUCTURAL A→B: Los cinco indicadores de Capa 1-2 muestran diferencias significativas (p&lt;0.001) en la dirección predicha. El Corpus B (JEP escrito) presenta menor violencia discursiva y mayor cercanía a las víctimas que el Corpus A (justicia ordinaria). La excepción es y₂ SA (no significativo entre sistemas, p=0.934): confirma su carácter de convención del género textual jurídico.</w:t>
      </w:r>
    </w:p>
    <w:p>
      <w:pPr>
        <w:spacing w:after="180" w:line="340"/>
        <w:jc w:val="both"/>
      </w:pPr>
      <w:r>
        <w:rPr>
          <w:rFonts w:ascii="Times New Roman" w:cs="Times New Roman" w:eastAsia="Times New Roman" w:hAnsi="Times New Roman"/>
          <w:color w:val="000000"/>
          <w:sz w:val="20"/>
          <w:szCs w:val="20"/>
        </w:rPr>
        <w:t xml:space="preserve">2. PREDICTOR MÁS FUERTE: y₃ distancia léxico-civil (β=−5.337, p&lt;0.001) es el predictor más fuerte de la transición epistémica — mayor que y₂ SA (β=+0.095) y y₄ NV (β=+0.217). La proximidad al lenguaje de las víctimas predice el reconocimiento más que la reducción de mecanismos de encubrimiento.</w:t>
      </w:r>
    </w:p>
    <w:p>
      <w:pPr>
        <w:spacing w:after="180" w:line="340"/>
        <w:jc w:val="both"/>
      </w:pPr>
      <w:r>
        <w:rPr>
          <w:rFonts w:ascii="Times New Roman" w:cs="Times New Roman" w:eastAsia="Times New Roman" w:hAnsi="Times New Roman"/>
          <w:color w:val="000000"/>
          <w:sz w:val="20"/>
          <w:szCs w:val="20"/>
        </w:rPr>
        <w:t xml:space="preserve">3. DISOCIACIÓN CORPUS C: El hallazgo central del Corpus C es la disociación entre canales. Dabeiba (ICM_tri=0.493) es el subcaso de mayor congruencia — correlaciona con la materialidad del reconocimiento (49 fosas). Catatumbo (ICM_tri=0.236) tiene el mayor contraste: menor SA y NV pero semánticamente más distante de MAFAPO.</w:t>
      </w:r>
    </w:p>
    <w:p>
      <w:pPr>
        <w:spacing w:after="180" w:line="340"/>
        <w:jc w:val="both"/>
      </w:pPr>
      <w:r>
        <w:rPr>
          <w:rFonts w:ascii="Times New Roman" w:cs="Times New Roman" w:eastAsia="Times New Roman" w:hAnsi="Times New Roman"/>
          <w:color w:val="000000"/>
          <w:sz w:val="20"/>
          <w:szCs w:val="20"/>
        </w:rPr>
        <w:t xml:space="preserve">4. CASANARE — PERFIL PARADÓJICO: El General Torres Escalante tiene el mayor y₄ NV (0.483), el mayor y₂ SA (0.974) y la mayor divergencia vocal-facial (Δ=0.225). Es el único compareciente donde la voz expresa distress prosódico alto mientras la cara comunica sonrisa — el patrón de mayor disociación del corpus.</w:t>
      </w:r>
    </w:p>
    <w:p>
      <w:pPr>
        <w:spacing w:after="180" w:line="340"/>
        <w:jc w:val="both"/>
      </w:pPr>
      <w:r>
        <w:rPr>
          <w:rFonts w:ascii="Times New Roman" w:cs="Times New Roman" w:eastAsia="Times New Roman" w:hAnsi="Times New Roman"/>
          <w:color w:val="000000"/>
          <w:sz w:val="20"/>
          <w:szCs w:val="20"/>
        </w:rPr>
        <w:t xml:space="preserve">5. CONTROL TEMPORAL: La brecha semántica (y₈, y₉) persiste con p&lt;0.001 comparando documentos del mismo período 2018-2023, descartando que sea un artefacto temporal. La brecha en REP léxico es parcialmente temporal (p=0.139 n.s. controlando por año).</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2026-04-27T02:52:36.900Z</dcterms:created>
  <dcterms:modified xsi:type="dcterms:W3CDTF">2026-04-27T02:52:36.901Z</dcterms:modified>
</cp:coreProperties>
</file>

<file path=docProps/custom.xml><?xml version="1.0" encoding="utf-8"?>
<Properties xmlns="http://schemas.openxmlformats.org/officeDocument/2006/custom-properties" xmlns:vt="http://schemas.openxmlformats.org/officeDocument/2006/docPropsVTypes"/>
</file>