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6.1.7 El patrón de genuinidad facial — hallazgo Capa 3</w:t>
      </w:r>
    </w:p>
    <w:p>
      <w:pPr>
        <w:spacing w:after="200" w:line="360" w:lineRule="auto"/>
        <w:ind w:firstLine="720"/>
        <w:jc w:val="both"/>
      </w:pPr>
      <w:r>
        <w:rPr>
          <w:rFonts w:ascii="Times New Roman" w:cs="Times New Roman" w:eastAsia="Times New Roman" w:hAnsi="Times New Roman"/>
          <w:color w:val="000000"/>
          <w:sz w:val="24"/>
          <w:szCs w:val="24"/>
        </w:rPr>
        <w:t xml:space="preserve">El hallazgo más relevante de la Capa 3 multimodal es un patrón diferenciado de genuinidad del reconocimiento facial entre subcasos: General Torres Escalante Casanare (ICM=0.190) &lt; Capitán Chaparro Catatumbo (ICM=0.272) &lt; Soldados Huila (ICM=0.299) &lt; Oficial Dabeiba (ICM=0.353). Este patrón emergió del análisis de Action Units faciales con MediaPipe FaceLandmarker sobre los segmentos diarizados de los comparecientes en 4 de 5 audiencias del Corpus C, con detección optimizada (40-93% por audiencia).</w:t>
      </w:r>
    </w:p>
    <w:p>
      <w:pPr>
        <w:spacing w:after="200" w:line="360" w:lineRule="auto"/>
        <w:ind w:firstLine="720"/>
        <w:jc w:val="both"/>
      </w:pPr>
      <w:r>
        <w:rPr>
          <w:sz w:val="24"/>
          <w:szCs w:val="24"/>
        </w:rPr>
        <w:t xml:space="preserve">El hallazgo de la Capa 3 multimodal es un patrón diferenciado de congruencia comunicativa entre subcasos: General Torres Escalante/Casanare (ICM=0.190) &lt; Capitán Chaparro/Catatumbo (ICM=0.272) &lt; Soldados/Huila (ICM=0.299) &lt; Oficial/Dabeiba (ICM=0.353). Es imprescindible declarar los límites epistemológicos de este hallazgo. Conforme a Barrett et al. (2019), no existe evidencia de que la culpa tenga un display facial discreto universalmente identificable. El ICM no mide sinceridad individual. La interpretación correcta es: el subcaso Casanare presenta el patrón de menor congruencia multimodal del corpus (ICM=0.190, dominancia AU12 sonrisa), mientras Dabeiba presenta el patrón de mayor congruencia (ICM=0.353, dominancia AU4 ceño fruncido). Esta diferencia correlaciona con la materialidad del acto de reconocimiento en cada subcaso —en Dabeiba se reconocieron 49 fosas físicamente recuperadas—, no con la sinceridad de los comparecientes. Adicionalmente, los modelos faciales no han sido auditados sobre rostros mestizos o afrocolombianos (Buolamwini y Gebru, 2018), limitando la generalización.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genuinidad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genuino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Torres Escalante tiene consistentemente el ICM más bajo (0.190) — mayor sonrisa (AU12=0.091) y menor ceño (AU4=0.076) que cualquier otro compareciente del corpus. Este perfil facial es el más consistente con un reconocimiento performativo: Torres Escalante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Torres Escalante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Chaparro,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Torres Escalante)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Chaparro)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(Ollo La Tapia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no pudo ser procesado por restricciones de la plataforma YouTube, dejando el análisis en 4 de 5 audiencias.</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 xml:space="preserve">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video de Costa Caribe (subcaso La Popa, julio 2022) está bloqueado por DRM en YouTube y no pudo ser procesado.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Resolver el video Costa Caribe (DRM) para completar el Corpus C 5/5 en Capa 3.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 COMPLETADO (abril 2026): Features eGeMAPS v02 extraídos con OpenSMILE sobre 10.897 ventanas (4 subcasos). ICM vocal del compareciente calculado mediante cruce con diarizaciones AUs. ICM tri-canal ponderado calculado. Pendiente: integración en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Cinco de seis indicadores CFH muestran diferencias estadísticamente significativas en la dirección predicha.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La Capa 3 añade un hallazgo relevante: el General Torres Escalante (Casanare) tiene el ICM facial más bajo del corpus (0.190) — perfil de sonrisa dominante consistente con reconocimiento performativo — mientras que el subcaso Dabeiba presenta el ICM más alto (0.353), posiblemente asociado a la materialidad concreta de ese subcaso (49 fosas físicamente recuperadas). Estos resultados son exploratorios y requieren validación perceptual, pero abren una línea de investigación sobre la expresión emocional en los actos de justicia transicional que no ha sido explorada cuantitativamente en la literatura.</w:t>
      </w:r>
    </w:p>
    <w:p>
      <w:pPr>
        <w:spacing w:after="200" w:line="360" w:lineRule="auto"/>
        <w:ind w:firstLine="720"/>
        <w:jc w:val="both"/>
      </w:pPr>
      <w:r>
        <w:rPr>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Cinco de seis indicadores CFH muestran diferencias estadísticamente significativas entre Corpus A y B.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