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w:t>
      </w:r>
    </w:p>
    <w:p>
      <w:pPr>
        <w:spacing w:after="120"/>
        <w:jc w:val="center"/>
      </w:pPr>
      <w:r>
        <w:rPr>
          <w:rFonts w:ascii="Times New Roman" w:cs="Times New Roman" w:eastAsia="Times New Roman" w:hAnsi="Times New Roman"/>
          <w:b/>
          <w:bCs/>
          <w:color w:val="0D2137"/>
          <w:sz w:val="28"/>
          <w:szCs w:val="28"/>
        </w:rPr>
        <w:t xml:space="preserve">un framework de reparación algorítmica para medir</w:t>
      </w:r>
    </w:p>
    <w:p>
      <w:pPr>
        <w:spacing w:after="600"/>
        <w:jc w:val="center"/>
      </w:pPr>
      <w:r>
        <w:rPr>
          <w:rFonts w:ascii="Times New Roman" w:cs="Times New Roman" w:eastAsia="Times New Roman" w:hAnsi="Times New Roman"/>
          <w:b/>
          <w:bCs/>
          <w:color w:val="0D2137"/>
          <w:sz w:val="26"/>
          <w:szCs w:val="26"/>
        </w:rPr>
        <w:t xml:space="preserve">la injusticia discursiva en archivos judiciales de justicia transicional</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Injusticia discursiva: el marco Fraser-Galtung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La Hermenéutica Forense Computacional (CFH)</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El Discursive Injustice Score (DIS Score)</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medición SEM</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la injusticia discursiva en archivos judiciales de justicia transicional.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 xml:space="preserve">La tercera es la dimensión epistémica. </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 audiencias del Macrocaso 003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y Zehr (justicia restaurativa), y formaliza el framework CFH con sus tres capas y el ICM. El Capítulo 4 describe la metodología: corpus multimodal, pipeline de procesamiento, taxonomía CFH, extractores léxicos y semánticos, extracción de features acústicas y faciales,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