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2. Estado del arte</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revisa la literatura existente en cinco áreas que constituyen los antecedentes directos de la Hermenéutica Forense Computacional (CFH): el fenómeno de los falsos positivos y su documentación académica e institucional; las aplicaciones de NLP al análisis de textos judiciales y audiencias de justicia transicional; el análisis multimodal de sinceridad y autenticidad en contextos forenses; la intersección entre justicia transicional y análisis crítico del discurso; y los frameworks computacionales para la medición de constructos discursivos. La revisión identifica los avances relevantes y la brecha que la CFH busca llenar: la ausencia de un framework multimodal, computacionalmente escalable y teóricamente fundamentado para medir la injusticia discursiva en archivos judiciales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2.1 El fenómeno de los falsos positivos: documentación académica e institucional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2.1.1 Caracterización y contexto histórico</w:t>
      </w:r>
    </w:p>
    <w:p>
      <w:pPr>
        <w:spacing w:after="200" w:line="360" w:lineRule="auto"/>
        <w:ind w:firstLine="720"/>
        <w:jc w:val="both"/>
      </w:pPr>
      <w:r>
        <w:rPr>
          <w:rFonts w:ascii="Times New Roman" w:cs="Times New Roman" w:eastAsia="Times New Roman" w:hAnsi="Times New Roman"/>
          <w:color w:val="000000"/>
          <w:sz w:val="24"/>
          <w:szCs w:val="24"/>
        </w:rPr>
        <w:t xml:space="preserve">El término «falsos positivos» designa la práctica de agentes del Estado colombiano —principalmente miembros del Ejército Nacional— de asesinar civiles desarmados y presentarlos fraudulentamente como guerrilleros o delincuentes abatidos en combate legítimo (Human Rights Watch, 2015; ICC, 2020). El engaño se ejecutaba mediante la manipulación sistemática de las escenas del crimen: siembra de armas y uniformes en los cuerpos de las víctimas, elaboración de informes de operaciones que describían combates inexistentes, y construcción de expedientes judiciales que certificaban la legitimidad de las «bajas» (OACNUDH, 2010).</w:t>
      </w:r>
    </w:p>
    <w:p>
      <w:pPr>
        <w:spacing w:after="200" w:line="360" w:lineRule="auto"/>
        <w:ind w:firstLine="720"/>
        <w:jc w:val="both"/>
      </w:pPr>
      <w:r>
        <w:rPr>
          <w:rFonts w:ascii="Times New Roman" w:cs="Times New Roman" w:eastAsia="Times New Roman" w:hAnsi="Times New Roman"/>
          <w:color w:val="000000"/>
          <w:sz w:val="24"/>
          <w:szCs w:val="24"/>
        </w:rPr>
        <w:t xml:space="preserve">La magnitud del fenómeno ha sido objeto de estimaciones crecientes a medida que avanza la investigación judicial. La JEP determinó que al menos 6.402 personas fueron asesinadas ilegítimamente y presentadas como bajas en combate entre 2002 y 2008 (JEP, 2021). Human Rights Watch (2020) eleva esa cifra a entre 8.000 y 10.000, mientras que la Comisión de la Verdad (2022) contabilizó 9.509 víctimas de ejecuciones extrajudiciales en el período 1958-2022. La diferencia entre estimaciones refleja los distintos períodos y criterios de clasificación, pero todas coinciden en que el fenómeno fue masivo, sistemático y concentrado geográficamente.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2.1.2 El sistema de incentivos y la ingeniería burocrática del lenguaje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académico convergente identifica la escalada de los falsos positivos entre 2002 y 2008 con la Política de Seguridad Democrática (PSD) de la administración Uribe y su sistema de incentivos perversos (ICC, 2020; Human Rights Watch, 2015). Las Directivas ministeriales No. 029 de 2005 y No. 002 de 2008 —que establecían recompensas económicas, beneficios y ascensos por la obtención de «bajas»— crearon las condiciones institucionales para que el asesinato de civiles fuera rentable para los perpetradores.</w:t>
      </w:r>
    </w:p>
    <w:p>
      <w:pPr>
        <w:spacing w:after="200" w:line="360" w:lineRule="auto"/>
        <w:ind w:firstLine="720"/>
        <w:jc w:val="both"/>
      </w:pPr>
      <w:r>
        <w:rPr>
          <w:rFonts w:ascii="Times New Roman" w:cs="Times New Roman" w:eastAsia="Times New Roman" w:hAnsi="Times New Roman"/>
          <w:color w:val="000000"/>
          <w:sz w:val="24"/>
          <w:szCs w:val="24"/>
        </w:rPr>
        <w:t xml:space="preserve">Una contribución central del trabajo académico sobre los falsos positivos es el concepto de ingeniería burocrática del lenguaje: la producción sistemática e institucionalizada de un vocabulario que hacía la violencia invisible. Los informes militares no decían «asesinamos a un civil»; decían «se presentó un resultado operacional positivo en el marco de la misión táctica No. X». Este vocabulario no era inocente: era el mecanismo discursivo que permitía que los homicidios fueran registrados, archivados, reportados y eventualmente juzgados como acciones legítimas. La terminología eufemística viajaba del informe militar al expediente judicial, y del expediente judicial a la sentencia, construyendo una cadena documental de legitimación del crimen.</w:t>
      </w:r>
    </w:p>
    <w:p>
      <w:pPr>
        <w:pStyle w:val="Heading3"/>
        <w:spacing w:after="140" w:before="280"/>
        <w:outlineLvl w:val="2"/>
      </w:pPr>
      <w:r>
        <w:rPr>
          <w:rFonts w:ascii="Times New Roman" w:cs="Times New Roman" w:eastAsia="Times New Roman" w:hAnsi="Times New Roman"/>
          <w:b/>
          <w:bCs/>
          <w:i/>
          <w:iCs/>
          <w:color w:val="000000"/>
          <w:sz w:val="24"/>
          <w:szCs w:val="24"/>
        </w:rPr>
        <w:t xml:space="preserve">2.1.3 El papel de las organizaciones de víctimas y la sociedad civil</w:t>
      </w:r>
    </w:p>
    <w:p>
      <w:pPr>
        <w:spacing w:after="200" w:line="360" w:lineRule="auto"/>
        <w:ind w:firstLine="720"/>
        <w:jc w:val="both"/>
      </w:pPr>
      <w:r>
        <w:rPr>
          <w:rFonts w:ascii="Times New Roman" w:cs="Times New Roman" w:eastAsia="Times New Roman" w:hAnsi="Times New Roman"/>
          <w:color w:val="000000"/>
          <w:sz w:val="24"/>
          <w:szCs w:val="24"/>
        </w:rPr>
        <w:t xml:space="preserve">La documentación de los falsos positivos no emergió del sistema judicial sino de la resistencia organizada de las víctimas y las organizaciones de derechos humanos. MAFAPO (Madres de Falsos Positivos de Soacha y Bogotá) fue una de las primeras organizaciones en sistematizar los testimonios de las familias y en exigir públicamente la recuperación de los cuerpos y la verdad sobre las circunstancias de las muertes (CNMH, 2019). El CINEP/Programa por la Paz documentó sistemáticamente los casos a través de su Banco de Datos de Derechos Humanos y Violencia Política (CINEP, 2020). El Centro Nacional de Memoria Histórica trabajó con las familias para dignificar la memoria de las víctimas mediante la recolección de objetos personales y la producción de relatos que restituían la identidad de quienes habían sido deshumanizados en el lenguaje castrense.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2.2 NLP aplicado a textos judiciales y audiencias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2.2.1 El campo del NLP jurídico</w:t>
      </w:r>
    </w:p>
    <w:p>
      <w:pPr>
        <w:spacing w:after="200" w:line="360" w:lineRule="auto"/>
        <w:ind w:firstLine="720"/>
        <w:jc w:val="both"/>
      </w:pPr>
      <w:r>
        <w:rPr>
          <w:rFonts w:ascii="Times New Roman" w:cs="Times New Roman" w:eastAsia="Times New Roman" w:hAnsi="Times New Roman"/>
          <w:color w:val="000000"/>
          <w:sz w:val="24"/>
          <w:szCs w:val="24"/>
        </w:rPr>
        <w:t xml:space="preserve">La aplicación del procesamiento de lenguaje natural a textos jurídicos —el campo conocido como Legal NLP o LegalTech— ha experimentado un desarrollo acelerado en la última década, impulsado por la disponibilidad de grandes corpus de decisiones judiciales en formato digital y por la emergencia de modelos de lenguaje preentrenados de alta capacidad (Chalkidis et al., 2023). Las tareas abordadas por el Legal NLP incluyen la clasificación de sentencias por área del derecho, la extracción de entidades legales, la predicción del resultado de casos, el resumen automático de decisiones judiciales, y la detección de inconsistencias argumentativas (Zhong et al., 2020).</w:t>
      </w:r>
    </w:p>
    <w:p>
      <w:pPr>
        <w:pStyle w:val="Heading3"/>
        <w:spacing w:after="140" w:before="280"/>
        <w:outlineLvl w:val="2"/>
      </w:pPr>
      <w:r>
        <w:rPr>
          <w:rFonts w:ascii="Times New Roman" w:cs="Times New Roman" w:eastAsia="Times New Roman" w:hAnsi="Times New Roman"/>
          <w:b/>
          <w:bCs/>
          <w:i/>
          <w:iCs/>
          <w:color w:val="000000"/>
          <w:sz w:val="24"/>
          <w:szCs w:val="24"/>
        </w:rPr>
        <w:t xml:space="preserve">2.2.2 Modelos de lenguaje especializados en conflicto</w:t>
      </w:r>
    </w:p>
    <w:p>
      <w:pPr>
        <w:spacing w:after="200" w:line="360" w:lineRule="auto"/>
        <w:ind w:firstLine="720"/>
        <w:jc w:val="both"/>
      </w:pPr>
      <w:r>
        <w:rPr>
          <w:rFonts w:ascii="Times New Roman" w:cs="Times New Roman" w:eastAsia="Times New Roman" w:hAnsi="Times New Roman"/>
          <w:color w:val="000000"/>
          <w:sz w:val="24"/>
          <w:szCs w:val="24"/>
        </w:rPr>
        <w:t xml:space="preserve">Un avance particularmente relevante para esta investigación es el desarrollo de modelos de lenguaje preentrenados específicamente en corpus de conflicto político y violencia armada. Yang et al. (2022) presentaron ConfliBERT, una familia de modelos BERT entrenados sobre corpus de noticias, reportes de conflicto y documentos de análisis político, demostrando mejoras significativas respecto a modelos genéricos como mBERT en tareas de clasificación de eventos violentos. La variante ConfliBERT-Spanish (Yang et al., 2023), entrenada sobre corpus en español relacionados con el conflicto político latinoamericano, es el motor NLP central de la CFH: a diferencia de modelos genéricos como BETO (Cañete et al., 2020), ha sido expuesta durante el preentrenamiento a vocabulario de violencia política, terminología militar y lenguaje de derechos humanos que es precisamente el dominio del corpus CFH.</w:t>
      </w:r>
    </w:p>
    <w:p>
      <w:pPr>
        <w:pStyle w:val="Heading3"/>
        <w:spacing w:after="140" w:before="280"/>
        <w:outlineLvl w:val="2"/>
      </w:pPr>
      <w:r>
        <w:rPr>
          <w:rFonts w:ascii="Times New Roman" w:cs="Times New Roman" w:eastAsia="Times New Roman" w:hAnsi="Times New Roman"/>
          <w:b/>
          <w:bCs/>
          <w:i/>
          <w:iCs/>
          <w:color w:val="000000"/>
          <w:sz w:val="24"/>
          <w:szCs w:val="24"/>
        </w:rPr>
        <w:t xml:space="preserve">2.2.3 NLP aplicado al Macrocaso 003: antecedente directo</w:t>
      </w:r>
    </w:p>
    <w:p>
      <w:pPr>
        <w:spacing w:after="200" w:line="360" w:lineRule="auto"/>
        <w:ind w:firstLine="720"/>
        <w:jc w:val="both"/>
      </w:pPr>
      <w:r>
        <w:rPr>
          <w:rFonts w:ascii="Times New Roman" w:cs="Times New Roman" w:eastAsia="Times New Roman" w:hAnsi="Times New Roman"/>
          <w:color w:val="000000"/>
          <w:sz w:val="24"/>
          <w:szCs w:val="24"/>
        </w:rPr>
        <w:t xml:space="preserve">Gutiérrez-Osorio et al. (2025) publicaron el primer análisis computacional aplicado directamente a las audiencias públicas del Macrocaso 003 de la JEP. Utilizando minería de texto, análisis de sentimiento y redes semánticas skipgram sobre transcripciones de audiencias, los autores identificaron clusters temáticos que revelan diferencias regionales y de estatus procesal en el discurso de los comparecientes. Su trabajo demuestra la viabilidad técnica del NLP aplicado al corpus de audiencias JEP y constituye el antecedente empírico más directo de esta investigación en el contexto colombiano.</w:t>
      </w:r>
    </w:p>
    <w:p>
      <w:pPr>
        <w:spacing w:after="200" w:line="360" w:lineRule="auto"/>
        <w:ind w:firstLine="720"/>
        <w:jc w:val="both"/>
      </w:pPr>
      <w:r>
        <w:rPr>
          <w:rFonts w:ascii="Times New Roman" w:cs="Times New Roman" w:eastAsia="Times New Roman" w:hAnsi="Times New Roman"/>
          <w:color w:val="000000"/>
          <w:sz w:val="24"/>
          <w:szCs w:val="24"/>
        </w:rPr>
        <w:t xml:space="preserve">Sin embargo, el trabajo de Gutiérrez-Osorio et al. (2025) se centra en el análisis de sentimiento y la estructura temática del discurso, sin abordar los mecanismos específicos de violencia discursiva —eufemismo, supresión de agentividad, negación de victimización— ni la comparación con el discurso de la justicia ordinaria que precede a la JEP. La CFH complementa y extiende este trabajo al operacionalizar conceptos del análisis crítico del discurso, incorporar el análisis multimodal de las audiencias orales, y proponer un framework replicable en otros contextos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2.2.4 La brecha en el NLP aplicado a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literatura revela que no existe, hasta donde alcanza esta búsqueda, un framework de NLP diseñado específicamente para medir los mecanismos de violencia cultural en el discurso judicial de justicia transicional de forma multimodal —integrando texto, voz y expresión facial. Las herramientas existentes abordan tareas como la detección de discurso de odio, el análisis de la retórica política o la identificación de sesgos en decisiones judiciales, pero ninguna integra las tres modalidades en un índice de injusticia discursiva aplicado a archivos de posconflicto.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2.3 Análisis multimodal de sinceridad y autenticidad en contextos forenses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2.3.1 El campo del análisis multimodal de deception y sinceridad</w:t>
      </w:r>
    </w:p>
    <w:p>
      <w:pPr>
        <w:spacing w:after="200" w:line="360" w:lineRule="auto"/>
        <w:ind w:firstLine="720"/>
        <w:jc w:val="both"/>
      </w:pPr>
      <w:r>
        <w:rPr>
          <w:rFonts w:ascii="Times New Roman" w:cs="Times New Roman" w:eastAsia="Times New Roman" w:hAnsi="Times New Roman"/>
          <w:color w:val="000000"/>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El corpus fundacional "Real-life Trial" demostró que la combinación de features verbales y no-verbales supera a los evaluadores humanos en la detección de deception, con precisiones del 60-75% en condiciones multimodales. Este campo es directamente relevante para la CFH: el Índice de Congruencia Multimodal (ICM) mide precisamente la coherencia entre lo que el compareciente dice, cómo lo dice vocalmente y cómo lo expresa facialmente.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2.3.2 Análisis multimodal en contextos judiciales en español</w:t>
      </w:r>
    </w:p>
    <w:p>
      <w:pPr>
        <w:spacing w:after="200" w:line="360" w:lineRule="auto"/>
        <w:ind w:firstLine="720"/>
        <w:jc w:val="both"/>
      </w:pPr>
      <w:r>
        <w:rPr>
          <w:rFonts w:ascii="Times New Roman" w:cs="Times New Roman" w:eastAsia="Times New Roman" w:hAnsi="Times New Roman"/>
          <w:color w:val="000000"/>
          <w:sz w:val="24"/>
          <w:szCs w:val="24"/>
        </w:rPr>
        <w:t xml:space="preserve">Baldivas et al. (2025) presentaron LegalEye, el primer sistema de análisis multimodal de deception en contextos judiciales en múltiples idiomas incluyendo el español. El sistema integra Action Units faciales (FAUs), MFCCs acústicos y features léxicos mediante fusión tardía, alcanzando 97% de accuracy en inglés y 85% en español. Un hallazgo directamente relevante para la CFH es que la modalidad acústica domina en español —más que la visual— lo que sugiere que el eGeMAPS de OpenSMILE puede ser el canal más informativo para medir la sinceridad del reconocimiento en las audiencias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2.3.3 Prosodia como marcador de sinceridad</w:t>
      </w:r>
    </w:p>
    <w:p>
      <w:pPr>
        <w:spacing w:after="200" w:line="360" w:lineRule="auto"/>
        <w:ind w:firstLine="720"/>
        <w:jc w:val="both"/>
      </w:pPr>
      <w:r>
        <w:rPr>
          <w:rFonts w:ascii="Times New Roman" w:cs="Times New Roman" w:eastAsia="Times New Roman" w:hAnsi="Times New Roman"/>
          <w:color w:val="000000"/>
          <w:sz w:val="24"/>
          <w:szCs w:val="24"/>
        </w:rPr>
        <w:t xml:space="preserve">Baird y Coutinho (2019) desarrollaron el Sincere Apology Corpus (SinA-C) con 912 grabaciones de disculpas evaluadas por 22 jueces, alcanzando 79.2% UAR en clasificación sincero/no-sincero con features prosódicas. Sus hallazgos son directamente aplicables a la CFH: las disculpas percibidas como sinceras se caracterizan por pitch inicial alto, volumen bajo y tempo más rápido — patrones que OpenSMILE eGeMAPS puede extraer por segmento diarizado. Loy et al. (2017) demostraron adicionalmente que existe una firma prosódica cross-lingüística de honestidad independiente del idioma o dialecto, lo que fundamenta el uso de features prosódicos como indicadores válidos de sinceridad en los comparecientes colombianos.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2.3.4 Expresión facial y reconocimiento de culpa</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la expresión facial en contextos de rendición de cuentas forense ha recibido atención creciente en la literatura. Un hallazgo disruptivo de la investigación reciente (Scientific Reports, 2024) es que la culpa NO tiene un display facial discreto identificable — el frowning (AU4) y el neck touching son los marcadores más asociados, pero su ausencia no implica ausencia de culpa. Este hallazgo refuerza el enfoque de la CFH: en lugar de buscar AUs aisladas de remordimiento, el ICM mide la congruencia entre canales — si el texto expresa reconocimiento pero la voz es monótona y el rostro no presenta distress (AU1+AU4+AU15), esa incongruencia es el indicador de reconocimiento performativo. OpenFace 3.0 (Baltrusaitis et al., 2025) es la herramienta de referencia para extracción de AUs, head pose y gaze direction.</w:t>
      </w:r>
    </w:p>
    <w:p>
      <w:pPr>
        <w:pStyle w:val="Heading3"/>
        <w:spacing w:after="140" w:before="280"/>
        <w:outlineLvl w:val="2"/>
      </w:pPr>
      <w:r>
        <w:rPr>
          <w:rFonts w:ascii="Times New Roman" w:cs="Times New Roman" w:eastAsia="Times New Roman" w:hAnsi="Times New Roman"/>
          <w:b/>
          <w:bCs/>
          <w:i/>
          <w:iCs/>
          <w:color w:val="000000"/>
          <w:sz w:val="24"/>
          <w:szCs w:val="24"/>
        </w:rPr>
        <w:t xml:space="preserve">2.3.5 El Índice de Congruencia Multimodal como operacionalización de Fraser</w:t>
      </w:r>
    </w:p>
    <w:p>
      <w:pPr>
        <w:spacing w:after="200" w:line="360" w:lineRule="auto"/>
        <w:ind w:firstLine="720"/>
        <w:jc w:val="both"/>
      </w:pPr>
      <w:r>
        <w:rPr>
          <w:rFonts w:ascii="Times New Roman" w:cs="Times New Roman" w:eastAsia="Times New Roman" w:hAnsi="Times New Roman"/>
          <w:color w:val="000000"/>
          <w:sz w:val="24"/>
          <w:szCs w:val="24"/>
        </w:rPr>
        <w:t xml:space="preserve">La contribución metodológica del ICM a este campo es doble. Primero, opera en un dominio radicalmente distinto al de los estudios de deception convencionales: no busca detectar mentiras sino medir la profundidad del reconocimiento en contextos de justicia transicional. Segundo, ancla el análisis técnico en un marco teórico normativo — el reconocimiento genuino de Fraser (1995) — que le da significado político y moral más allá de la clasificación automática. El reconocimiento genuino no es simplemente «sinceridad» en sentido psicológico: es un acto de restauración de la paridad participativa de las víctimas como interlocutoras iguales en el proceso de construcción de verdad.</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2.4 Justicia transicional y análisis del discurso</w:t>
      </w:r>
    </w:p>
    <w:p>
      <w:pPr>
        <w:pStyle w:val="Heading3"/>
        <w:spacing w:after="140" w:before="280"/>
        <w:outlineLvl w:val="2"/>
      </w:pPr>
      <w:r>
        <w:rPr>
          <w:rFonts w:ascii="Times New Roman" w:cs="Times New Roman" w:eastAsia="Times New Roman" w:hAnsi="Times New Roman"/>
          <w:b/>
          <w:bCs/>
          <w:i/>
          <w:iCs/>
          <w:color w:val="000000"/>
          <w:sz w:val="24"/>
          <w:szCs w:val="24"/>
        </w:rPr>
        <w:t xml:space="preserve">2.4.1 El modelo de justicia transicional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JEP fue establecida como parte del Sistema Integral de Verdad, Justicia, Reparación y No Repetición (SIVJRNR) tras el Acuerdo de Paz de 2016 con las FARC-EP (JEP, 2021). Su diseño incorpora elementos de justicia restaurativa que contrastan radicalmente con el modelo retributivo de la justicia ordinaria: la pena privativa de la libertad es reemplazada por sanciones propias para quienes reconozcan verdad completa, detallada y exhaustiva (Jurisdicción Especial para la Paz, 2017). El Macrocaso 003 es el más avanzado de los once macrocasos de la JEP, con las primeras resoluciones de conclusiones (2022) y las primeras audiencias públicas de reconocimiento en Colombia.</w:t>
      </w:r>
    </w:p>
    <w:p>
      <w:pPr>
        <w:pStyle w:val="Heading3"/>
        <w:spacing w:after="140" w:before="280"/>
        <w:outlineLvl w:val="2"/>
      </w:pPr>
      <w:r>
        <w:rPr>
          <w:rFonts w:ascii="Times New Roman" w:cs="Times New Roman" w:eastAsia="Times New Roman" w:hAnsi="Times New Roman"/>
          <w:b/>
          <w:bCs/>
          <w:i/>
          <w:iCs/>
          <w:color w:val="000000"/>
          <w:sz w:val="24"/>
          <w:szCs w:val="24"/>
        </w:rPr>
        <w:t xml:space="preserve">2.4.2 Habermas y la colonización sistémica del lenguaje judicial</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es particularmente adecuado para describir el fenómeno de los falsos positivos: el sistema militar-burocrático colonizó el lenguaje con que la sociedad colombiana comprendía y registraba las muertes de civiles, imponiendo su vocabulario técnico-operacional sobre el lenguaje de la experiencia cotidiana de las víctimas. Los eufemismos militares no eran errores de comunicación: eran el mecanismo mediante el cual la lógica del sistema se imponía sobre el mundo de la vida de las familias afectadas.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2.4.3 Fraser, Galtung y la justicia restaurativa</w:t>
      </w:r>
    </w:p>
    <w:p>
      <w:pPr>
        <w:spacing w:after="200" w:line="360" w:lineRule="auto"/>
        <w:ind w:firstLine="720"/>
        <w:jc w:val="both"/>
      </w:pPr>
      <w:r>
        <w:rPr>
          <w:rFonts w:ascii="Times New Roman" w:cs="Times New Roman" w:eastAsia="Times New Roman" w:hAnsi="Times New Roman"/>
          <w:color w:val="000000"/>
          <w:sz w:val="24"/>
          <w:szCs w:val="24"/>
        </w:rPr>
        <w:t xml:space="preserve">La dimensión lingüística de la justicia transicional ha sido analizada cualitativamente en varios contextos de posconflicto: las comisiones de verdad de Sudáfrica (Mamdani, 1996), Argentina (Jelin, 2002) y Rwanda (Clark, 2010). En el caso colombiano, el trabajo de Jaramillo (2021) sobre el lenguaje de las audiencias JEP identifica patrones de rehumanización discursiva en las intervenciones de comparecientes que reconocen responsabilidad. Sin embargo, los métodos cualitativos no son escalables al volumen del archivo judicial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literatura sobre justicia restaurativa (Zehr, 2002; Braithwaite, 2002) ha identificado el lenguaje como componente central de la reparación simbólica. El reconocimiento verbal de la responsabilidad, el pedido de perdón público y la mención del nombre de la víctima son actos lingüísticos que constituyen —no solo simbolizan— la reparación (Austin, 1962; Searle, 1969). Desde esta perspectiva, la Ruptura Epistémica Positiva (REP) no es un mero cambio de vocabulario: es un acto de reparación discursiva con efectos jurídicos, morales y sociales.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2.4.4 Justicia transicional computacional: estado del arte global</w:t>
      </w:r>
    </w:p>
    <w:p>
      <w:pPr>
        <w:spacing w:after="200" w:line="360" w:lineRule="auto"/>
        <w:ind w:firstLine="720"/>
        <w:jc w:val="both"/>
      </w:pPr>
      <w:r>
        <w:rPr>
          <w:rFonts w:ascii="Times New Roman" w:cs="Times New Roman" w:eastAsia="Times New Roman" w:hAnsi="Times New Roman"/>
          <w:color w:val="000000"/>
          <w:sz w:val="24"/>
          <w:szCs w:val="24"/>
        </w:rPr>
        <w:t xml:space="preserve">Meyers y Valls-Vargas (2023) aplicaron métodos computacionales de corpus al análisis de la Comisión de la Verdad de Liberia, constituyendo el precedente más directo de análisis computacional de archivos de justicia transicional fuera de Colombia. Impunity Watch (2025) sistematizó el estado global de las aplicaciones de IA en justicia transicional — OSINT, NLP, OCR, análisis espacial y reconstrucción digital — e identificó como brecha principal la ausencia de sistemas multimodales para análisis de audiencias orales. Cann et al. (2025) propusieron el concepto de "eco semántico" para medir la convergencia de comunicaciones estratégicas hacia un corpus de referencia mediante cosine similarity de embeddings — metodología directamente aplicable a la CFH para medir la convergencia del discurso JEP hacia la voz de las víctimas.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2.5 Frameworks computacionales para la medición de constructos discursivos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2.5.1 Del SEM 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Los modelos de ecuaciones estructurales (SEM) son una familia de métodos estadísticos que permiten estimar relaciones entre variables latentes a partir de indicadores observables (Kline, 2023). En el diseño original de la CFH, el SEM era el marco estadístico central. La revisión de la literatura y los resultados del análisis exploratorio revelaron que un framework de tres capas —léxico, semántico y multimodal— captura mejor la complejidad del fenómeno, dado que cada capa requiere métodos estadísticos distintos y produce observaciones en escalas temporales diferentes.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2.5.2 Embeddings como indicadores de constructos latentes</w:t>
      </w:r>
    </w:p>
    <w:p>
      <w:pPr>
        <w:spacing w:after="200" w:line="360" w:lineRule="auto"/>
        <w:ind w:firstLine="720"/>
        <w:jc w:val="both"/>
      </w:pPr>
      <w:r>
        <w:rPr>
          <w:rFonts w:ascii="Times New Roman" w:cs="Times New Roman" w:eastAsia="Times New Roman" w:hAnsi="Times New Roman"/>
          <w:color w:val="000000"/>
          <w:sz w:val="24"/>
          <w:szCs w:val="24"/>
        </w:rPr>
        <w:t xml:space="preserve">Kozlowski et al. (2019) utilizaron embeddings de palabras para medir dimensiones culturales latentes en corpus históricos de prensa, demostrando que los espacios vectoriales capturan no solo significados léxicos sino también estructuras ideológicas. Garg et al. (2018) aplicaron un enfoque similar para medir el cambio en estereotipos de género y etnicidad en corpus históricos. Cann et al. (2025) extendieron esta lógica al análisis de la convergencia temporal de discursos estratégicos. Estos trabajos establecen el precedente metodológico para el uso de embeddings de ConfliBERT-Spanish como indicadores de la distancia semántica al polo MAFAPO/CIDH en la Capa 2 de la CFH.</w:t>
      </w:r>
    </w:p>
    <w:p>
      <w:pPr>
        <w:pStyle w:val="Heading3"/>
        <w:spacing w:after="140" w:before="280"/>
        <w:outlineLvl w:val="2"/>
      </w:pPr>
      <w:r>
        <w:rPr>
          <w:rFonts w:ascii="Times New Roman" w:cs="Times New Roman" w:eastAsia="Times New Roman" w:hAnsi="Times New Roman"/>
          <w:b/>
          <w:bCs/>
          <w:i/>
          <w:iCs/>
          <w:color w:val="000000"/>
          <w:sz w:val="24"/>
          <w:szCs w:val="24"/>
        </w:rPr>
        <w:t xml:space="preserve">2.5.3 PLS-SEM y Bayesian SEM para muestras pequeñas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(path analysis) y el PLS-SEM son alternativas al SEM convencional adecuadas cuando el tamaño de muestra es limitado — como en el caso del Corpus C con ~50-100 segmentos por audiencia. Hair et al. (2019) establecen que el PLS-SEM es preferible al CB-SEM cuando N&lt;200 y los constructos son formativos. El Bayesian SEM con priors informativos (van de Schoot et al., 2021) es otra alternativa que permite incorporar conocimiento previo sobre los parámetros — relevante para la CFH dado que los resultados del análisis textual pueden informar los priors del modelo multimodal.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2.5.4 Síntesis: la brecha que llena la CFH</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la literatura permite identificar con precisión la contribución original de esta investigación. Existe un cuerpo robusto de documentación sobre el fenómeno de los falsos positivos (§2.1), un campo en desarrollo del Legal NLP con el antecedente directo de Gutiérrez-Osorio et al. (2025) en el Macrocaso 003 (§2.2), un campo emergente de análisis multimodal forense con LegalEye y SinA-C como herramientas de referencia (§2.3), una tradición de análisis discursivo de la justicia transicional con Habermas como nuevo fundamento teórico (§2.4), y herramientas estadísticas para modelar constructos discursivos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Área</w:t>
            </w:r>
          </w:p>
        </w:tc>
        <w:tc>
          <w:tcPr>
            <w:tcW w:type="dxa" w:w="3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existe</w:t>
            </w:r>
          </w:p>
        </w:tc>
        <w:tc>
          <w:tcPr>
            <w:tcW w:type="dxa" w:w="3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aporta la CFH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NLP en Macrocaso 003</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Gutiérrez-Osorio (2025): sentimiento y clusters temáticos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 comparación A vs B vs C + multimodal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Análisis multimodal forense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LegalEye: deception en juicios. SinA-C: sinceridad prosódica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ICM: congruencia verbal/vocal/facial en reconocimiento de justicia transicional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Justicia transicional computacional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Meyers (2023): Liberia. Impunity Watch (2025): mapeo global</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Framework replicable con índice de injusticia discursiva validado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 en Colombia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Solo Gutiérrez-Osorio (2025): análisis textual básico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Pipeline completo: embeddings + distancias MAFAPO/CIDH +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2.1. Posicionamiento de la CFH respecto al estado del arte.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Baldivas, S., Sreenivasan, A., et al. (2025). LegalEye: Multimodal Court Deception Detection Across Multiple Languages. Behavioral Sciences, MDPI.</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Braithwaite, J. (2002). Restorative Justice and Responsive Regulation. Oxford University Press.</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 Kang, H., y Pérez, J. (2020). Spanish pre-trained BERT model and evaluation data. PML4DC at ICLR 2020.</w:t>
      </w:r>
    </w:p>
    <w:p>
      <w:pPr>
        <w:spacing w:after="120"/>
        <w:ind w:left="720" w:hanging="720"/>
        <w:jc w:val="both"/>
      </w:pPr>
      <w:r>
        <w:rPr>
          <w:rFonts w:ascii="Times New Roman" w:cs="Times New Roman" w:eastAsia="Times New Roman" w:hAnsi="Times New Roman"/>
          <w:color w:val="000000"/>
          <w:sz w:val="20"/>
          <w:szCs w:val="20"/>
        </w:rPr>
        <w:t xml:space="preserve">Cann, T., et al. (2025). Semantic Echo. EPJ Data Science, Springer.</w:t>
      </w:r>
    </w:p>
    <w:p>
      <w:pPr>
        <w:spacing w:after="120"/>
        <w:ind w:left="720" w:hanging="720"/>
        <w:jc w:val="both"/>
      </w:pPr>
      <w:r>
        <w:rPr>
          <w:rFonts w:ascii="Times New Roman" w:cs="Times New Roman" w:eastAsia="Times New Roman" w:hAnsi="Times New Roman"/>
          <w:color w:val="000000"/>
          <w:sz w:val="20"/>
          <w:szCs w:val="20"/>
        </w:rPr>
        <w:t xml:space="preserve">Cepeda Castro, I. y Rojas, J. (2008). A las puertas de El Ubérrimo. Debate.</w:t>
      </w:r>
    </w:p>
    <w:p>
      <w:pPr>
        <w:spacing w:after="120"/>
        <w:ind w:left="720" w:hanging="720"/>
        <w:jc w:val="both"/>
      </w:pPr>
      <w:r>
        <w:rPr>
          <w:rFonts w:ascii="Times New Roman" w:cs="Times New Roman" w:eastAsia="Times New Roman" w:hAnsi="Times New Roman"/>
          <w:color w:val="000000"/>
          <w:sz w:val="20"/>
          <w:szCs w:val="20"/>
        </w:rPr>
        <w:t xml:space="preserve">Chalkidis, I., Garneau, N., Cao, Y., Huang, Z., Stathis, T., Thavarajah, J., y Goldfarb, D. (2023). LexFiles and LegalLAMA. ACL 2023, 15, 6228–6244.</w:t>
      </w:r>
    </w:p>
    <w:p>
      <w:pPr>
        <w:spacing w:after="120"/>
        <w:ind w:left="720" w:hanging="720"/>
        <w:jc w:val="both"/>
      </w:pPr>
      <w:r>
        <w:rPr>
          <w:rFonts w:ascii="Times New Roman" w:cs="Times New Roman" w:eastAsia="Times New Roman" w:hAnsi="Times New Roman"/>
          <w:color w:val="000000"/>
          <w:sz w:val="20"/>
          <w:szCs w:val="20"/>
        </w:rPr>
        <w:t xml:space="preserve">CINEP/Programa por la Paz. (2020). Banco de datos de derechos humanos y violencia política. CINEP.</w:t>
      </w:r>
    </w:p>
    <w:p>
      <w:pPr>
        <w:spacing w:after="120"/>
        <w:ind w:left="720" w:hanging="720"/>
        <w:jc w:val="both"/>
      </w:pPr>
      <w:r>
        <w:rPr>
          <w:rFonts w:ascii="Times New Roman" w:cs="Times New Roman" w:eastAsia="Times New Roman" w:hAnsi="Times New Roman"/>
          <w:color w:val="000000"/>
          <w:sz w:val="20"/>
          <w:szCs w:val="20"/>
        </w:rPr>
        <w:t xml:space="preserve">Clark, P. (2010). The Gacaca Courts, Post-Genocide Justice and Reconciliation in Rwanda. Cambridge University Press.</w:t>
      </w:r>
    </w:p>
    <w:p>
      <w:pPr>
        <w:spacing w:after="120"/>
        <w:ind w:left="720" w:hanging="720"/>
        <w:jc w:val="both"/>
      </w:pPr>
      <w:r>
        <w:rPr>
          <w:rFonts w:ascii="Times New Roman" w:cs="Times New Roman" w:eastAsia="Times New Roman" w:hAnsi="Times New Roman"/>
          <w:color w:val="000000"/>
          <w:sz w:val="20"/>
          <w:szCs w:val="20"/>
        </w:rPr>
        <w:t xml:space="preserve">CNMH — Centro Nacional de Memoria Histórica. (2019). Mujeres y madres: Memorias de los falsos positivos. CNMH.</w:t>
      </w:r>
    </w:p>
    <w:p>
      <w:pPr>
        <w:spacing w:after="120"/>
        <w:ind w:left="720" w:hanging="720"/>
        <w:jc w:val="both"/>
      </w:pPr>
      <w:r>
        <w:rPr>
          <w:rFonts w:ascii="Times New Roman" w:cs="Times New Roman" w:eastAsia="Times New Roman" w:hAnsi="Times New Roman"/>
          <w:color w:val="000000"/>
          <w:sz w:val="20"/>
          <w:szCs w:val="20"/>
        </w:rPr>
        <w:t xml:space="preserve">Comisión de la Verdad. (2022). Hay futuro si hay verdad: informe final. CEV.</w:t>
      </w:r>
    </w:p>
    <w:p>
      <w:pPr>
        <w:spacing w:after="120"/>
        <w:ind w:left="720" w:hanging="720"/>
        <w:jc w:val="both"/>
      </w:pPr>
      <w:r>
        <w:rPr>
          <w:rFonts w:ascii="Times New Roman" w:cs="Times New Roman" w:eastAsia="Times New Roman" w:hAnsi="Times New Roman"/>
          <w:color w:val="000000"/>
          <w:sz w:val="20"/>
          <w:szCs w:val="20"/>
        </w:rPr>
        <w:t xml:space="preserve">Garg, N., Schiebinger, L., Jurafsky, D., y Zou, J. (2018). Word embeddings quantify 100 years of gender and ethnic stereotypes. PNAS, 115(16), E3635–E3644.</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Hair, J. F., Risher, J. J., Sarstedt, M., y Ringle, C. M. (2019). When to use and how to report results of PLS-SEM. European Business Review, 31(1), 2–24.</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Human Rights Watch. (2020). Colombia: Un cuarto de siglo de reformas fallidas en los derechos humanos. HRW.</w:t>
      </w:r>
    </w:p>
    <w:p>
      <w:pPr>
        <w:spacing w:after="120"/>
        <w:ind w:left="720" w:hanging="720"/>
        <w:jc w:val="both"/>
      </w:pPr>
      <w:r>
        <w:rPr>
          <w:rFonts w:ascii="Times New Roman" w:cs="Times New Roman" w:eastAsia="Times New Roman" w:hAnsi="Times New Roman"/>
          <w:color w:val="000000"/>
          <w:sz w:val="20"/>
          <w:szCs w:val="20"/>
        </w:rPr>
        <w:t xml:space="preserve">ICC — International Criminal Court. (2020). Colombia: Preliminary examination. ICC Office of the Prosecutor.</w:t>
      </w:r>
    </w:p>
    <w:p>
      <w:pPr>
        <w:spacing w:after="120"/>
        <w:ind w:left="720" w:hanging="720"/>
        <w:jc w:val="both"/>
      </w:pPr>
      <w:r>
        <w:rPr>
          <w:rFonts w:ascii="Times New Roman" w:cs="Times New Roman" w:eastAsia="Times New Roman" w:hAnsi="Times New Roman"/>
          <w:color w:val="000000"/>
          <w:sz w:val="20"/>
          <w:szCs w:val="20"/>
        </w:rPr>
        <w:t xml:space="preserve">Impunity Watch. (2025). AI and Transitional Justice: Mapping Report.</w:t>
      </w:r>
    </w:p>
    <w:p>
      <w:pPr>
        <w:spacing w:after="120"/>
        <w:ind w:left="720" w:hanging="720"/>
        <w:jc w:val="both"/>
      </w:pPr>
      <w:r>
        <w:rPr>
          <w:rFonts w:ascii="Times New Roman" w:cs="Times New Roman" w:eastAsia="Times New Roman" w:hAnsi="Times New Roman"/>
          <w:color w:val="000000"/>
          <w:sz w:val="20"/>
          <w:szCs w:val="20"/>
        </w:rPr>
        <w:t xml:space="preserve">Jaramillo, J. (2021). El lenguaje de la verdad: análisis discursivo de las audiencias JEP del Macrocaso 003. Tesis de maestría, Universidad de los Andes.</w:t>
      </w:r>
    </w:p>
    <w:p>
      <w:pPr>
        <w:spacing w:after="120"/>
        <w:ind w:left="720" w:hanging="720"/>
        <w:jc w:val="both"/>
      </w:pPr>
      <w:r>
        <w:rPr>
          <w:rFonts w:ascii="Times New Roman" w:cs="Times New Roman" w:eastAsia="Times New Roman" w:hAnsi="Times New Roman"/>
          <w:color w:val="000000"/>
          <w:sz w:val="20"/>
          <w:szCs w:val="20"/>
        </w:rPr>
        <w:t xml:space="preserve">Jelin, E. (2002). Los trabajos de la memoria. Siglo XXI.</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Kozlowski, A. C., Taddy, M., y Evans, J. A. (2019). The geometry of culture: Analyzing the meanings of class through word embeddings. American Sociological Review, 84(5), 905–949.</w:t>
      </w:r>
    </w:p>
    <w:p>
      <w:pPr>
        <w:spacing w:after="120"/>
        <w:ind w:left="720" w:hanging="720"/>
        <w:jc w:val="both"/>
      </w:pPr>
      <w:r>
        <w:rPr>
          <w:rFonts w:ascii="Times New Roman" w:cs="Times New Roman" w:eastAsia="Times New Roman" w:hAnsi="Times New Roman"/>
          <w:color w:val="000000"/>
          <w:sz w:val="20"/>
          <w:szCs w:val="20"/>
        </w:rPr>
        <w:t xml:space="preserve">Lippi, M. y Torroni, P. (2016). Argumentation mining: State of the art and emerging trends. ACM Transactions on Internet Technology, 16(2), 1–25.</w:t>
      </w:r>
    </w:p>
    <w:p>
      <w:pPr>
        <w:spacing w:after="120"/>
        <w:ind w:left="720" w:hanging="720"/>
        <w:jc w:val="both"/>
      </w:pPr>
      <w:r>
        <w:rPr>
          <w:rFonts w:ascii="Times New Roman" w:cs="Times New Roman" w:eastAsia="Times New Roman" w:hAnsi="Times New Roman"/>
          <w:color w:val="000000"/>
          <w:sz w:val="20"/>
          <w:szCs w:val="20"/>
        </w:rPr>
        <w:t xml:space="preserve">Loy, J., Rohde, H. y Corley, M. (2017). Listeners' perceptions of certainty and honesty are associated with a common prosodic signature. Nature Communications.</w:t>
      </w:r>
    </w:p>
    <w:p>
      <w:pPr>
        <w:spacing w:after="120"/>
        <w:ind w:left="720" w:hanging="720"/>
        <w:jc w:val="both"/>
      </w:pPr>
      <w:r>
        <w:rPr>
          <w:rFonts w:ascii="Times New Roman" w:cs="Times New Roman" w:eastAsia="Times New Roman" w:hAnsi="Times New Roman"/>
          <w:color w:val="000000"/>
          <w:sz w:val="20"/>
          <w:szCs w:val="20"/>
        </w:rPr>
        <w:t xml:space="preserve">Mamdani, M. (1996). Reconciliation without Justice. Southern African Review of Books.</w:t>
      </w:r>
    </w:p>
    <w:p>
      <w:pPr>
        <w:spacing w:after="120"/>
        <w:ind w:left="720" w:hanging="720"/>
        <w:jc w:val="both"/>
      </w:pPr>
      <w:r>
        <w:rPr>
          <w:rFonts w:ascii="Times New Roman" w:cs="Times New Roman" w:eastAsia="Times New Roman" w:hAnsi="Times New Roman"/>
          <w:color w:val="000000"/>
          <w:sz w:val="20"/>
          <w:szCs w:val="20"/>
        </w:rPr>
        <w:t xml:space="preserve">Meyers, J. y Valls-Vargas, J. (2023). The Language of Inclusion: Critical Corpus-Based Methods in Liberia's Truth Commission. Social Justice Research, Springer.</w:t>
      </w:r>
    </w:p>
    <w:p>
      <w:pPr>
        <w:spacing w:after="120"/>
        <w:ind w:left="720" w:hanging="720"/>
        <w:jc w:val="both"/>
      </w:pPr>
      <w:r>
        <w:rPr>
          <w:rFonts w:ascii="Times New Roman" w:cs="Times New Roman" w:eastAsia="Times New Roman" w:hAnsi="Times New Roman"/>
          <w:color w:val="000000"/>
          <w:sz w:val="20"/>
          <w:szCs w:val="20"/>
        </w:rPr>
        <w:t xml:space="preserve">OACNUDH. (2010). Informe del Relator Especial sobre ejecuciones extrajudiciales: misión a Colombia. A/HRC/14/24/Add.2.</w:t>
      </w:r>
    </w:p>
    <w:p>
      <w:pPr>
        <w:spacing w:after="120"/>
        <w:ind w:left="720" w:hanging="720"/>
        <w:jc w:val="both"/>
      </w:pPr>
      <w:r>
        <w:rPr>
          <w:rFonts w:ascii="Times New Roman" w:cs="Times New Roman" w:eastAsia="Times New Roman" w:hAnsi="Times New Roman"/>
          <w:color w:val="000000"/>
          <w:sz w:val="20"/>
          <w:szCs w:val="20"/>
        </w:rPr>
        <w:t xml:space="preserve">Pérez-Rosas, V., Abouelenien, M., Mihalcea, R., et al. (2015). Verbal and Nonverbal Clues for Real-life Deception Detection. EMNLP 2015.</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van de Schoot, R., et al. (2021). Bayesian statistics and modelling. Nature Reviews Methods Primers.</w:t>
      </w:r>
    </w:p>
    <w:p>
      <w:pPr>
        <w:spacing w:after="120"/>
        <w:ind w:left="720" w:hanging="720"/>
        <w:jc w:val="both"/>
      </w:pPr>
      <w:r>
        <w:rPr>
          <w:rFonts w:ascii="Times New Roman" w:cs="Times New Roman" w:eastAsia="Times New Roman" w:hAnsi="Times New Roman"/>
          <w:color w:val="000000"/>
          <w:sz w:val="20"/>
          <w:szCs w:val="20"/>
        </w:rPr>
        <w:t xml:space="preserve">Yang, W., Hu, Y., et al. (2022). ConfliBERT: A Pre-trained Language Model for Political Conflict and Violence. NAACL 2022.</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p>
      <w:pPr>
        <w:spacing w:after="120"/>
        <w:ind w:left="720" w:hanging="720"/>
        <w:jc w:val="both"/>
      </w:pPr>
      <w:r>
        <w:rPr>
          <w:rFonts w:ascii="Times New Roman" w:cs="Times New Roman" w:eastAsia="Times New Roman" w:hAnsi="Times New Roman"/>
          <w:color w:val="000000"/>
          <w:sz w:val="20"/>
          <w:szCs w:val="20"/>
        </w:rPr>
        <w:t xml:space="preserve">Zhong, H., Wang, Y., Tu, C., Zhang, T., Liu, Z., y Sun, M. (2020). Iteratively questioning and answering for interpretable legal judgment prediction. AAAI 2020.</w:t>
      </w:r>
    </w:p>
    <w:p>
      <w:pPr>
        <w:spacing w:after="120"/>
        <w:ind w:left="720" w:hanging="720"/>
        <w:jc w:val="both"/>
      </w:pPr>
      <w:r>
        <w:rPr>
          <w:rFonts w:ascii="Times New Roman" w:cs="Times New Roman" w:eastAsia="Times New Roman" w:hAnsi="Times New Roman"/>
          <w:color w:val="000000"/>
          <w:sz w:val="20"/>
          <w:szCs w:val="20"/>
        </w:rPr>
        <w:t xml:space="preserve">Zheng, et al. (2025). Meaning transformation: from multimodal courtroom discourse to legal judgments. Nature Humanities &amp; Social Sciences Communications.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2026-04-11T16:15:02.124Z</dcterms:created>
  <dcterms:modified xsi:type="dcterms:W3CDTF">2026-04-11T16:15:02.126Z</dcterms:modified>
</cp:coreProperties>
</file>

<file path=docProps/custom.xml><?xml version="1.0" encoding="utf-8"?>
<Properties xmlns="http://schemas.openxmlformats.org/officeDocument/2006/custom-properties" xmlns:vt="http://schemas.openxmlformats.org/officeDocument/2006/docPropsVTypes"/>
</file>