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Austin, J. L. (1962). How to Do Things with Words. Oxford University Press.</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Baldivas, R. I. A., Sreenivasan, N., Kang, S. Y., Miller, A. M.-L., Chacko, M., Krishnan, S., Ayala, C., Ayala, E., y Kim, D. (2025). LegalEye: Multimodal Court Deception Detection Across Multiple Languages. Behavioral Sciences, 15(12), 1707. DOI: 10.3390/bs15121707</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Braithwaite, J. (2002). Restorative Justice and Responsive Regulation. Oxford University Press.</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 Kang, H., y Pérez, J. (2020). Spanish pre-trained BERT model and evaluation data. PML4DC at ICLR 2020.</w:t>
      </w:r>
    </w:p>
    <w:p>
      <w:pPr>
        <w:spacing w:after="120"/>
        <w:ind w:left="720" w:hanging="720"/>
        <w:jc w:val="both"/>
      </w:pPr>
      <w:r>
        <w:rPr>
          <w:rFonts w:ascii="Times New Roman" w:cs="Times New Roman" w:eastAsia="Times New Roman" w:hAnsi="Times New Roman"/>
          <w:color w:val="000000"/>
          <w:sz w:val="20"/>
          <w:szCs w:val="20"/>
        </w:rPr>
        <w:t xml:space="preserve">Cann, T., et al. (2025). Semantic Echo. EPJ Data Science, Springer.</w:t>
      </w:r>
    </w:p>
    <w:p>
      <w:pPr>
        <w:spacing w:after="120"/>
        <w:ind w:left="720" w:hanging="720"/>
        <w:jc w:val="both"/>
      </w:pPr>
      <w:r>
        <w:rPr>
          <w:rFonts w:ascii="Times New Roman" w:cs="Times New Roman" w:eastAsia="Times New Roman" w:hAnsi="Times New Roman"/>
          <w:color w:val="000000"/>
          <w:sz w:val="20"/>
          <w:szCs w:val="20"/>
        </w:rPr>
        <w:t xml:space="preserve">Cepeda Castro, I. y Rojas, J. (2008). A las puertas de El Ubérrimo. Debate.</w:t>
      </w:r>
    </w:p>
    <w:p>
      <w:pPr>
        <w:spacing w:after="120"/>
        <w:ind w:left="720" w:hanging="720"/>
        <w:jc w:val="both"/>
      </w:pPr>
      <w:r>
        <w:rPr>
          <w:rFonts w:ascii="Times New Roman" w:cs="Times New Roman" w:eastAsia="Times New Roman" w:hAnsi="Times New Roman"/>
          <w:color w:val="000000"/>
          <w:sz w:val="20"/>
          <w:szCs w:val="20"/>
        </w:rPr>
        <w:t xml:space="preserve">Chalkidis, I., Garneau, N., Cao, Y., Huang, Z., Stathis, T., Thavarajah, J., y Goldfarb, D. (2023). LexFiles and LegalLAMA. ACL 2023, 15, 6228–6244.</w:t>
      </w:r>
    </w:p>
    <w:p>
      <w:pPr>
        <w:spacing w:after="120"/>
        <w:ind w:left="720" w:hanging="720"/>
        <w:jc w:val="both"/>
      </w:pPr>
      <w:r>
        <w:rPr>
          <w:rFonts w:ascii="Times New Roman" w:cs="Times New Roman" w:eastAsia="Times New Roman" w:hAnsi="Times New Roman"/>
          <w:color w:val="000000"/>
          <w:sz w:val="20"/>
          <w:szCs w:val="20"/>
        </w:rPr>
        <w:t xml:space="preserve">CINEP/Programa por la Paz. (2020). Banco de datos de derechos humanos y violencia política. CINEP.</w:t>
      </w:r>
    </w:p>
    <w:p>
      <w:pPr>
        <w:spacing w:after="120"/>
        <w:ind w:left="720" w:hanging="720"/>
        <w:jc w:val="both"/>
      </w:pPr>
      <w:r>
        <w:rPr>
          <w:rFonts w:ascii="Times New Roman" w:cs="Times New Roman" w:eastAsia="Times New Roman" w:hAnsi="Times New Roman"/>
          <w:color w:val="000000"/>
          <w:sz w:val="20"/>
          <w:szCs w:val="20"/>
        </w:rPr>
        <w:t xml:space="preserve">Clark, P. (2010). The Gacaca Courts, Post-Genocide Justice and Reconciliation in Rwanda. Cambridge University Press.</w:t>
      </w:r>
    </w:p>
    <w:p>
      <w:pPr>
        <w:spacing w:after="120"/>
        <w:ind w:left="720" w:hanging="720"/>
        <w:jc w:val="both"/>
      </w:pPr>
      <w:r>
        <w:rPr>
          <w:rFonts w:ascii="Times New Roman" w:cs="Times New Roman" w:eastAsia="Times New Roman" w:hAnsi="Times New Roman"/>
          <w:color w:val="000000"/>
          <w:sz w:val="20"/>
          <w:szCs w:val="20"/>
        </w:rPr>
        <w:t xml:space="preserve">CNMH — Centro Nacional de Memoria Histórica. (2019). Mujeres y madres: Memorias de los falsos positivos. CNMH.</w:t>
      </w:r>
    </w:p>
    <w:p>
      <w:pPr>
        <w:spacing w:after="120"/>
        <w:ind w:left="720" w:hanging="720"/>
        <w:jc w:val="both"/>
      </w:pPr>
      <w:r>
        <w:rPr>
          <w:rFonts w:ascii="Times New Roman" w:cs="Times New Roman" w:eastAsia="Times New Roman" w:hAnsi="Times New Roman"/>
          <w:color w:val="000000"/>
          <w:sz w:val="20"/>
          <w:szCs w:val="20"/>
        </w:rPr>
        <w:t xml:space="preserve">Comisión de la Verdad. (2022). Hay futuro si hay verdad: informe final. CEV.</w:t>
      </w:r>
    </w:p>
    <w:p>
      <w:pPr>
        <w:spacing w:after="120"/>
        <w:ind w:left="720" w:hanging="720"/>
        <w:jc w:val="both"/>
      </w:pPr>
      <w:r>
        <w:rPr>
          <w:rFonts w:ascii="Times New Roman" w:cs="Times New Roman" w:eastAsia="Times New Roman" w:hAnsi="Times New Roman"/>
          <w:color w:val="000000"/>
          <w:sz w:val="20"/>
          <w:szCs w:val="20"/>
        </w:rPr>
        <w:t xml:space="preserve">Garg, N., Schiebinger, L., Jurafsky, D., y Zou, J. (2018). Word embeddings quantify 100 years of gender and ethnic stereotypes. PNAS, 115(16), E3635–E3644.</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Hair, J. F., Risher, J. J., Sarstedt, M., y Ringle, C. M. (2019). When to use and how to report results of PLS-SEM. European Business Review, 31(1), 2–24.</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Human Rights Watch. (2020). Colombia: Un cuarto de siglo de reformas fallidas en los derechos humanos. HRW.</w:t>
      </w:r>
    </w:p>
    <w:p>
      <w:pPr>
        <w:spacing w:after="120"/>
        <w:ind w:left="720" w:hanging="720"/>
        <w:jc w:val="both"/>
      </w:pPr>
      <w:r>
        <w:rPr>
          <w:rFonts w:ascii="Times New Roman" w:cs="Times New Roman" w:eastAsia="Times New Roman" w:hAnsi="Times New Roman"/>
          <w:color w:val="000000"/>
          <w:sz w:val="20"/>
          <w:szCs w:val="20"/>
        </w:rPr>
        <w:t xml:space="preserve">ICC — International Criminal Court. (2020). Colombia: Preliminary examination. ICC Office of the Prosecutor.</w:t>
      </w:r>
    </w:p>
    <w:p>
      <w:pPr>
        <w:spacing w:after="120"/>
        <w:ind w:left="720" w:hanging="720"/>
        <w:jc w:val="both"/>
      </w:pPr>
      <w:r>
        <w:rPr>
          <w:rFonts w:ascii="Times New Roman" w:cs="Times New Roman" w:eastAsia="Times New Roman" w:hAnsi="Times New Roman"/>
          <w:color w:val="000000"/>
          <w:sz w:val="20"/>
          <w:szCs w:val="20"/>
        </w:rPr>
        <w:t xml:space="preserve">Impunity Watch. (2025). AI and Transitional Justice: Mapping Report.</w:t>
      </w:r>
    </w:p>
    <w:p>
      <w:pPr>
        <w:spacing w:after="120"/>
        <w:ind w:left="720" w:hanging="720"/>
        <w:jc w:val="both"/>
      </w:pPr>
      <w:r>
        <w:rPr>
          <w:rFonts w:ascii="Times New Roman" w:cs="Times New Roman" w:eastAsia="Times New Roman" w:hAnsi="Times New Roman"/>
          <w:color w:val="000000"/>
          <w:sz w:val="20"/>
          <w:szCs w:val="20"/>
        </w:rPr>
        <w:t xml:space="preserve">Jaramillo, J. (2021). El lenguaje de la verdad: análisis discursivo de las audiencias JEP del Macrocaso 003. Tesis de maestría, Universidad de los Andes.</w:t>
      </w:r>
    </w:p>
    <w:p>
      <w:pPr>
        <w:spacing w:after="120"/>
        <w:ind w:left="720" w:hanging="720"/>
        <w:jc w:val="both"/>
      </w:pPr>
      <w:r>
        <w:rPr>
          <w:rFonts w:ascii="Times New Roman" w:cs="Times New Roman" w:eastAsia="Times New Roman" w:hAnsi="Times New Roman"/>
          <w:color w:val="000000"/>
          <w:sz w:val="20"/>
          <w:szCs w:val="20"/>
        </w:rPr>
        <w:t xml:space="preserve">Jelin, E. (2002). Los trabajos de la memoria. Siglo XXI.</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Resolución de Conclusiones No. 01 de 2022 — Caso 03.</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Kozlowski, A. C., Taddy, M., y Evans, J. A. (2019). The geometry of culture: Analyzing the meanings of class through word embeddings. American Sociological Review, 84(5), 905–949.</w:t>
      </w:r>
    </w:p>
    <w:p>
      <w:pPr>
        <w:spacing w:after="120"/>
        <w:ind w:left="720" w:hanging="720"/>
        <w:jc w:val="both"/>
      </w:pPr>
      <w:r>
        <w:rPr>
          <w:rFonts w:ascii="Times New Roman" w:cs="Times New Roman" w:eastAsia="Times New Roman" w:hAnsi="Times New Roman"/>
          <w:color w:val="000000"/>
          <w:sz w:val="20"/>
          <w:szCs w:val="20"/>
        </w:rPr>
        <w:t xml:space="preserve">Lippi, M. y Torroni, P. (2016). Argumentation mining: State of the art and emerging trends. ACM Transactions on Internet Technology, 16(2), 1–25.</w:t>
      </w:r>
    </w:p>
    <w:p>
      <w:pPr>
        <w:spacing w:after="120"/>
        <w:ind w:left="720" w:hanging="720"/>
        <w:jc w:val="both"/>
      </w:pPr>
      <w:r>
        <w:rPr>
          <w:rFonts w:ascii="Times New Roman" w:cs="Times New Roman" w:eastAsia="Times New Roman" w:hAnsi="Times New Roman"/>
          <w:color w:val="000000"/>
          <w:sz w:val="20"/>
          <w:szCs w:val="20"/>
        </w:rPr>
        <w:t xml:space="preserve">Goupil, L., Ponsot, E., Richardson, D., Reyes, G., y Aucouturier, J.-J. (2021). Listeners' perceptions of certainty and honesty are associated with a common prosodic signature. Nature Communications, 12, 861. DOI: 10.1038/s41467-021-21516-2</w:t>
      </w:r>
    </w:p>
    <w:p>
      <w:pPr>
        <w:spacing w:after="120"/>
        <w:ind w:left="720" w:hanging="720"/>
        <w:jc w:val="both"/>
      </w:pPr>
      <w:r>
        <w:rPr>
          <w:rFonts w:ascii="Times New Roman" w:cs="Times New Roman" w:eastAsia="Times New Roman" w:hAnsi="Times New Roman"/>
          <w:color w:val="000000"/>
          <w:sz w:val="20"/>
          <w:szCs w:val="20"/>
        </w:rPr>
        <w:t xml:space="preserve">Mamdani, M. (1996). Reconciliation without Justice. Southern African Review of Books.</w:t>
      </w:r>
    </w:p>
    <w:p>
      <w:pPr>
        <w:spacing w:after="120"/>
        <w:ind w:left="720" w:hanging="720"/>
        <w:jc w:val="both"/>
      </w:pPr>
      <w:r>
        <w:rPr>
          <w:rFonts w:ascii="Times New Roman" w:cs="Times New Roman" w:eastAsia="Times New Roman" w:hAnsi="Times New Roman"/>
          <w:color w:val="000000"/>
          <w:sz w:val="20"/>
          <w:szCs w:val="20"/>
        </w:rPr>
        <w:t xml:space="preserve">Meyers, J. y Valls-Vargas, J. (2023). The Language of Inclusion: Critical Corpus-Based Methods in Liberia's Truth Commission. Social Justice Research, Springer.</w:t>
      </w:r>
    </w:p>
    <w:p>
      <w:pPr>
        <w:spacing w:after="120"/>
        <w:ind w:left="720" w:hanging="720"/>
        <w:jc w:val="both"/>
      </w:pPr>
      <w:r>
        <w:rPr>
          <w:rFonts w:ascii="Times New Roman" w:cs="Times New Roman" w:eastAsia="Times New Roman" w:hAnsi="Times New Roman"/>
          <w:color w:val="000000"/>
          <w:sz w:val="20"/>
          <w:szCs w:val="20"/>
        </w:rPr>
        <w:t xml:space="preserve">OACNUDH. (2010). Informe del Relator Especial sobre ejecuciones extrajudiciales: misión a Colombia. A/HRC/14/24/Add.2.</w:t>
      </w:r>
    </w:p>
    <w:p>
      <w:pPr>
        <w:spacing w:after="120"/>
        <w:ind w:left="720" w:hanging="720"/>
        <w:jc w:val="both"/>
      </w:pPr>
      <w:r>
        <w:rPr>
          <w:rFonts w:ascii="Times New Roman" w:cs="Times New Roman" w:eastAsia="Times New Roman" w:hAnsi="Times New Roman"/>
          <w:color w:val="000000"/>
          <w:sz w:val="20"/>
          <w:szCs w:val="20"/>
        </w:rPr>
        <w:t xml:space="preserve">Pérez-Rosas, V., Abouelenien, M., Mihalcea, R., et al. (2015). Verbal and Nonverbal Clues for Real-life Deception Detection. EMNLP 2015.</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van de Schoot, R., et al. (2021). Bayesian statistics and modelling. Nature Reviews Methods Primers.</w:t>
      </w:r>
    </w:p>
    <w:p>
      <w:pPr>
        <w:spacing w:after="120"/>
        <w:ind w:left="720" w:hanging="720"/>
        <w:jc w:val="both"/>
      </w:pPr>
      <w:r>
        <w:rPr>
          <w:rFonts w:ascii="Times New Roman" w:cs="Times New Roman" w:eastAsia="Times New Roman" w:hAnsi="Times New Roman"/>
          <w:color w:val="000000"/>
          <w:sz w:val="20"/>
          <w:szCs w:val="20"/>
        </w:rPr>
        <w:t xml:space="preserve">Yang, W., Hu, Y., et al. (2022). ConfliBERT: A Pre-trained Language Model for Political Conflict and Violence. NAACL 2022.</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
Dryzek, J. S., y Niemeyer, S. J. (2024). Expressive Epistemic Injustice: Definition, Measurement, and Deliberative Cure. Political Research Quarterly. DOI: 10.1177/10659129241297272
Gilardi, F., Alizadeh, M., y Kubli, M. (2023). ChatGPT outperforms crowd workers for text-annotation tasks. Proceedings of the National Academy of Sciences, 120(30), e2305016120. DOI: 10.1073/pnas.2305016120
Kübler-Wachendorff, S., et al. (2024). Best Practices for Text Annotation with Large Language Models. arXiv:2402.05129</w:t>
      </w:r>
    </w:p>
    <w:p>
      <w:pPr>
        <w:spacing w:after="120"/>
        <w:ind w:left="720" w:hanging="720"/>
        <w:jc w:val="both"/>
      </w:pPr>
      <w:r>
        <w:rPr>
          <w:rFonts w:ascii="Times New Roman" w:cs="Times New Roman" w:eastAsia="Times New Roman" w:hAnsi="Times New Roman"/>
          <w:color w:val="000000"/>
          <w:sz w:val="20"/>
          <w:szCs w:val="20"/>
        </w:rPr>
        <w:t xml:space="preserve">Zhong, H., Wang, Y., Tu, C., Zhang, T., Liu, Z., y Sun, M. (2020). Iteratively questioning and answering for interpretable legal judgment prediction. AAAI 2020.</w:t>
      </w:r>
    </w:p>
    <w:p>
      <w:pPr>
        <w:spacing w:after="120"/>
        <w:ind w:left="720" w:hanging="720"/>
        <w:jc w:val="both"/>
      </w:pPr>
      <w:r>
        <w:rPr>
          <w:rFonts w:ascii="Times New Roman" w:cs="Times New Roman" w:eastAsia="Times New Roman" w:hAnsi="Times New Roman"/>
          <w:color w:val="000000"/>
          <w:sz w:val="20"/>
          <w:szCs w:val="20"/>
        </w:rPr>
        <w:t xml:space="preserve">Zheng, et al. (2025). Meaning transformation: from multimodal courtroom discourse to legal judgments. Nature Humanities &amp; Social Sciences Communications.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2026-04-11T16:15:02.124Z</dcterms:created>
  <dcterms:modified xsi:type="dcterms:W3CDTF">2026-04-11T16:15:02.126Z</dcterms:modified>
</cp:coreProperties>
</file>

<file path=docProps/custom.xml><?xml version="1.0" encoding="utf-8"?>
<Properties xmlns="http://schemas.openxmlformats.org/officeDocument/2006/custom-properties" xmlns:vt="http://schemas.openxmlformats.org/officeDocument/2006/docPropsVTypes"/>
</file>