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outlineLvl w:val="0"/>
      </w:pPr>
      <w:r>
        <w:rPr>
          <w:rFonts w:ascii="Times New Roman" w:cs="Times New Roman" w:eastAsia="Times New Roman" w:hAnsi="Times New Roman"/>
          <w:b/>
          <w:bCs/>
          <w:color w:val="0D2137"/>
          <w:sz w:val="28"/>
          <w:szCs w:val="28"/>
        </w:rPr>
        <w:t xml:space="preserve">3. Marco teórico</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desarrolla los fundamentos conceptuales que sostienen la Hermenéutica Forense Computacional (CFH). El marco teórico se articula en cuatro niveles: un nivel filosófico-político, que recupera las teorías de la violencia cultural (Galtung, 1990), la justicia como reconocimiento (Fraser, 1995, 2008) y la colonización sistémica del lenguaje (Habermas, 1987) para caracterizar el tipo de daño que produce el lenguaje judicial sobre las víctimas de los falsos positivos; un nivel restaurativo, que incorpora la justicia restaurativa (Zehr, 2002) como marco normativo del reconocimiento genuino; un nivel formal-computacional, que operacionaliza esos mecanismos en un framework de tres capas con un índice de injusticia discursiva; y un nivel multimodal, que extiende la medición al registro oral y no-verbal de las audiencias JEP mediante el Índice de Congruencia Multimodal (ICM).</w:t>
      </w:r>
    </w:p>
    <w:p>
      <w:pPr>
        <w:spacing w:after="200" w:line="360" w:lineRule="auto"/>
        <w:ind w:firstLine="720"/>
        <w:jc w:val="both"/>
      </w:pPr>
      <w:r>
        <w:rPr>
          <w:rFonts w:ascii="Times New Roman" w:cs="Times New Roman" w:eastAsia="Times New Roman" w:hAnsi="Times New Roman"/>
          <w:color w:val="000000"/>
          <w:sz w:val="24"/>
          <w:szCs w:val="24"/>
        </w:rPr>
        <w:t>La articulación de estos cinco niveles constituye la originalidad teórica del proyecto: la CFH no es simplemente la aplicación de NLP a textos judiciales, sino un marco que ancla decisiones técnicas en fundamentos filosóficos y empíricos sobre la naturaleza del daño discursivo y su posibilidad de reparación algorítmica.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3.1 Violencia cultural y lenguaje institucional: el marco de Galtung</w:t>
      </w:r>
    </w:p>
    <w:p>
      <w:pPr>
        <w:spacing w:after="200" w:line="360" w:lineRule="auto"/>
        <w:ind w:firstLine="720"/>
        <w:jc w:val="both"/>
      </w:pPr>
      <w:r>
        <w:rPr>
          <w:rFonts w:ascii="Times New Roman" w:cs="Times New Roman" w:eastAsia="Times New Roman" w:hAnsi="Times New Roman"/>
          <w:color w:val="000000"/>
          <w:sz w:val="24"/>
          <w:szCs w:val="24"/>
        </w:rPr>
        <w:t xml:space="preserve">La teoría de la violencia cultural de Johan Galtung (1990) distingue tres formas interrelacionadas de violencia: la violencia directa, que produce daño físico o psicológico sobre personas concretas; la violencia estructural, que produce daño a través de estructuras sociales que impiden el desarrollo humano; y la violencia cultural, que produce daño a través de los aspectos simbólicos —el lenguaje, el arte, la religión, la ciencia— que legitiman y normalizan las dos formas anteriores.</w:t>
      </w:r>
    </w:p>
    <w:p>
      <w:pPr>
        <w:spacing w:after="200" w:line="360" w:lineRule="auto"/>
        <w:ind w:firstLine="720"/>
        <w:jc w:val="both"/>
      </w:pPr>
      <w:r>
        <w:rPr>
          <w:rFonts w:ascii="Times New Roman" w:cs="Times New Roman" w:eastAsia="Times New Roman" w:hAnsi="Times New Roman"/>
          <w:color w:val="000000"/>
          <w:sz w:val="24"/>
          <w:szCs w:val="24"/>
        </w:rPr>
        <w:t xml:space="preserve">En el contexto de los falsos positivos colombianos, las tres formas de violencia operaron de manera articulada. La violencia directa fue el asesinato de civiles. La violencia estructural fue el sistema de incentivos institucionales —la «política de cuerpos», la presión por resultados operacionales, las recompensas por bajas— que creó las condiciones para que el asesinato sistemático de civiles fuera posible y rentable (Human Rights Watch, 2015). La violencia cultural fue el sistema lingüístico que permitió que esas muertes fueran descritas, registradas, archivadas y juzgadas con un lenguaje que las presentaba como acción militar legítima.</w:t>
      </w:r>
    </w:p>
    <w:p>
      <w:pPr>
        <w:spacing w:after="200" w:line="360" w:lineRule="auto"/>
        <w:ind w:firstLine="720"/>
        <w:jc w:val="both"/>
      </w:pPr>
      <w:r>
        <w:rPr>
          <w:rFonts w:ascii="Times New Roman" w:cs="Times New Roman" w:eastAsia="Times New Roman" w:hAnsi="Times New Roman"/>
          <w:color w:val="000000"/>
          <w:sz w:val="24"/>
          <w:szCs w:val="24"/>
        </w:rPr>
        <w:t xml:space="preserve">Lo que esta tesis denomina ingeniería burocrática del lenguaje es, en términos de Galtung, una forma específica de violencia cultural: la producción sistemática e institucionalizada de un vocabulario que hace la violencia directa «invisible, impercibida, o aparentemente natural» (Galtung, 1990, p. 292). Cuando un expediente judicial reproduce sin cuestionamiento la denominación «resultado operacional positivo» para referirse al asesinato de un civil, no está simplemente usando una jerga técnica: está institualcionalizando la invisibilización discursiva de un homicidio. La violencia cultural, en este caso, opera a través del archivo.</w:t>
      </w:r>
    </w:p>
    <w:p>
      <w:pPr>
        <w:spacing w:after="200" w:line="360" w:lineRule="auto"/>
        <w:ind w:firstLine="720"/>
        <w:jc w:val="both"/>
      </w:pPr>
      <w:r>
        <w:rPr>
          <w:rFonts w:ascii="Times New Roman" w:cs="Times New Roman" w:eastAsia="Times New Roman" w:hAnsi="Times New Roman"/>
          <w:color w:val="000000"/>
          <w:sz w:val="24"/>
          <w:szCs w:val="24"/>
        </w:rPr>
        <w:t xml:space="preserve">Para los propósitos de esta investigación, la violencia cultural lingüística se operacionaliza a través de tres mecanismos discursivos: el Eufemismo Bélico-Institucional (EBI), que opera sobre el vocabulario; la Supresión de Agentividad (SA), que opera sobre la gramática ocultando al responsable; y la Negación de Victimización (NV), que opera sobre la identidad atribuida a las personas asesinadas. Estos tres mecanismos son las manifestaciones computacionalmente detectables de la violencia cultural en el corpus judicial.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3.2 Justicia como reconocimiento: el marco de Fraser</w:t>
      </w:r>
    </w:p>
    <w:p>
      <w:pPr>
        <w:spacing w:after="200" w:line="360" w:lineRule="auto"/>
        <w:ind w:firstLine="720"/>
        <w:jc w:val="both"/>
      </w:pPr>
      <w:r>
        <w:rPr>
          <w:rFonts w:ascii="Times New Roman" w:cs="Times New Roman" w:eastAsia="Times New Roman" w:hAnsi="Times New Roman"/>
          <w:color w:val="000000"/>
          <w:sz w:val="24"/>
          <w:szCs w:val="24"/>
        </w:rPr>
        <w:t xml:space="preserve">Si Galtung ofrece el marco para entender cómo el lenguaje produce violencia, Nancy Fraser (1995, 2008) ofrece el marco para entender qué significa superarla. En su teoría de la justicia como reconocimiento, Fraser argumenta que la injusticia no tiene únicamente una dimensión distributiva —quién recibe qué— sino también una dimensión de reconocimiento: quién es reconocido como un igual, como alguien cuya perspectiva y experiencia cuentan en la construcción de la verdad colectiva.</w:t>
      </w:r>
    </w:p>
    <w:p>
      <w:pPr>
        <w:spacing w:after="200" w:line="360" w:lineRule="auto"/>
        <w:ind w:firstLine="720"/>
        <w:jc w:val="both"/>
      </w:pPr>
      <w:r>
        <w:rPr>
          <w:rFonts w:ascii="Times New Roman" w:cs="Times New Roman" w:eastAsia="Times New Roman" w:hAnsi="Times New Roman"/>
          <w:color w:val="000000"/>
          <w:sz w:val="24"/>
          <w:szCs w:val="24"/>
        </w:rPr>
        <w:t xml:space="preserve">La injusticia de reconocimiento ocurre cuando grupos o personas son sometidos a patrones institucionalizados de interpretación cultural que los degradan, los invisibilizan o los representan como «Otro» inferior o desviado. Fraser llama a esta forma de injusticia misrecognition, y la distingue de la mera intolerancia o el prejuicio individual: es sistémica, está institucionalizada en prácticas y estructuras culturales. En el contexto de los falsos positivos, la falta de reconocimiento operó en dos momentos: durante el crimen, cuando las víctimas fueron despojadas discursivamente de su condición de civiles protegidos por el DIH; y durante el procesamiento judicial ordinario, cuando los tribunales reprodujeron ese lenguaje sin cuestionarlo.</w:t>
      </w:r>
    </w:p>
    <w:p>
      <w:pPr>
        <w:spacing w:after="200" w:line="360" w:lineRule="auto"/>
        <w:ind w:firstLine="720"/>
        <w:jc w:val="both"/>
      </w:pPr>
      <w:r>
        <w:rPr>
          <w:rFonts w:ascii="Times New Roman" w:cs="Times New Roman" w:eastAsia="Times New Roman" w:hAnsi="Times New Roman"/>
          <w:color w:val="000000"/>
          <w:sz w:val="24"/>
          <w:szCs w:val="24"/>
        </w:rPr>
        <w:t xml:space="preserve">El proceso de justicia transicional generado por la JEP puede entenderse, desde el marco de Fraser, como un proceso de reconocimiento: el reconocimiento de las víctimas como civiles inocentes, de sus nombres y sus historias, de la responsabilidad de los perpetradores, y de que lo que el Estado llamó «baja en combate» fue un crimen de lesa humanidad. Lo que esta tesis denomina Ruptura Epistémica Positiva (REP) es la manifestación discursiva de ese reconocimiento: la aparición, en los documentos transicionales, de un lenguaje que devuelve a las víctimas su condición de personas y a los perpetradores su responsabilidad. La contribución específica de Fraser al marco teórico de la CFH es que el reconocimiento puede ser medido: si la falta de reconocimiento se manifiesta en patrones lingüísticos sistemáticos, entonces el reconocimiento también tiene una signatura lingüística detectable computacionalmente.</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3.3 La colonización sistémica del lenguaje: Habermas</w:t>
      </w:r>
    </w:p>
    <w:p>
      <w:pPr>
        <w:spacing w:after="200" w:line="360" w:lineRule="auto"/>
        <w:ind w:firstLine="720"/>
        <w:jc w:val="both"/>
      </w:pPr>
      <w:r>
        <w:rPr>
          <w:rFonts w:ascii="Times New Roman" w:cs="Times New Roman" w:eastAsia="Times New Roman" w:hAnsi="Times New Roman"/>
          <w:color w:val="000000"/>
          <w:sz w:val="24"/>
          <w:szCs w:val="24"/>
        </w:rPr>
        <w:t xml:space="preserve">El concepto habermasiano de colonización sistémica del mundo de la vida (Habermas, 1987) describe cómo los sistemas sociales —el mercado, el aparato burocrático-estatal— imponen su lógica y su lenguaje sobre el mundo de la experiencia cotidiana de las personas. En el caso de los falsos positivos, el sistema militar-burocrático colonizó el lenguaje con que la sociedad colombiana comprendía y registraba las muertes de civiles: impuso su vocabulario técnico-operacional sobre el lenguaje de la experiencia cotidiana de las familias afectadas. Los eufemismos militares no eran errores de comunicación —eran el mecanismo mediante el cual la lógica del sistema se imponía sobre el mundo de la vida de las víctimas.</w:t>
      </w:r>
    </w:p>
    <w:p>
      <w:pPr>
        <w:spacing w:after="200" w:line="360" w:lineRule="auto"/>
        <w:ind w:firstLine="720"/>
        <w:jc w:val="both"/>
      </w:pPr>
      <w:r>
        <w:rPr>
          <w:rFonts w:ascii="Times New Roman" w:cs="Times New Roman" w:eastAsia="Times New Roman" w:hAnsi="Times New Roman"/>
          <w:color w:val="000000"/>
          <w:sz w:val="24"/>
          <w:szCs w:val="24"/>
        </w:rPr>
        <w:t xml:space="preserve">Para la CFH, este marco teórico implica que medir la injusticia discursiva no es solo cuantificar la frecuencia de eufemismos: es medir la distancia entre el lenguaje sistémico del archivo judicial y el lenguaje vivido de las víctimas. Los centroides semánticos de MAFAPO y la CIDH operacionalizan precisamente esa distancia: representan el polo del mundo de la vida de las víctimas y del derecho internacional de los derechos humanos, respectivamente. La colonización sistémica produce una brecha semántica que la CFH mide como distancia coseno entre embeddings.</w:t>
      </w:r>
    </w:p>
    <w:p>
      <w:pPr>
        <w:spacing w:after="200" w:line="360" w:lineRule="auto"/>
        <w:ind w:firstLine="720"/>
        <w:jc w:val="both"/>
      </w:pPr>
      <w:r>
        <w:rPr>
          <w:rFonts w:ascii="Times New Roman" w:cs="Times New Roman" w:eastAsia="Times New Roman" w:hAnsi="Times New Roman"/>
          <w:color w:val="000000"/>
          <w:sz w:val="24"/>
          <w:szCs w:val="24"/>
        </w:rPr>
        <w:t xml:space="preserve">Sin embargo, la teoría habermasiana enfrenta una tensión importante cuando se aplica a crímenes de lesa humanidad: ¿puede un proceso comunicativo que incluye víctimas y victimarios en «condiciones de igualdad» producir justicia cuando las asimetrías de poder son tan extremas? Esta tensión señala que la ruptura epistémica positiva no puede medirse solo como convergencia hacia un lenguaje de consenso — debe medirse como convergencia hacia el lenguaje de los derechos humanos y la dignidad de las víctimas. Por eso el framework incorpora fuentes de referencia normativas específicas (MAFAPO, CIDH) y no simplemente métricas de similitud textual genérica.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3.4 Justicia restaurativa y autenticidad del reconocimiento: Zehr</w:t>
      </w:r>
    </w:p>
    <w:p>
      <w:pPr>
        <w:spacing w:after="200" w:line="360" w:lineRule="auto"/>
        <w:ind w:firstLine="720"/>
        <w:jc w:val="both"/>
      </w:pPr>
      <w:r>
        <w:rPr>
          <w:rFonts w:ascii="Times New Roman" w:cs="Times New Roman" w:eastAsia="Times New Roman" w:hAnsi="Times New Roman"/>
          <w:color w:val="000000"/>
          <w:sz w:val="24"/>
          <w:szCs w:val="24"/>
        </w:rPr>
        <w:t xml:space="preserve">La teoría de la justicia restaurativa de Howard Zehr (2002) añade una dimensión crucial que los marcos de Galtung, Fraser y Habermas no abordan directamente: la autenticidad del reconocimiento. Zehr distingue entre la reparación simbólica genuina —que implica que el perpetrador comprende realmente el daño causado y lo nombra desde la perspectiva de la víctima— y la reparación performativa —que cumple las formas del reconocimiento sin la substancia emocional y cognitiva que le da sentido.</w:t>
      </w:r>
    </w:p>
    <w:p>
      <w:pPr>
        <w:spacing w:after="200" w:line="360" w:lineRule="auto"/>
        <w:ind w:firstLine="720"/>
        <w:jc w:val="both"/>
      </w:pPr>
      <w:r>
        <w:rPr>
          <w:rFonts w:ascii="Times New Roman" w:cs="Times New Roman" w:eastAsia="Times New Roman" w:hAnsi="Times New Roman"/>
          <w:color w:val="000000"/>
          <w:sz w:val="24"/>
          <w:szCs w:val="24"/>
        </w:rPr>
        <w:t xml:space="preserve">Esta distinción es directamente relevante para el Corpus C de audiencias orales de la JEP. Cuando un compareciente pronuncia las palabras «reconozco mi responsabilidad», esas palabras pueden ser un acto de reparación genuina o una fórmula procesal vacía. El texto transcrito no puede distinguir entre ambas posibilidades — pero la voz y el rostro sí pueden. La prosodia del reconocimiento genuino —las pausas, el quiebre de voz, el tempo reducido (Baird y Coutinho, 2019)— y la expresión facial del distress emocional (AU1+AU4+AU15+AU17 en el sistema FACS) proveen información adicional que el análisis textual no captura.</w:t>
      </w:r>
    </w:p>
    <w:p>
      <w:pPr>
        <w:spacing w:after="200" w:line="360" w:lineRule="auto"/>
        <w:ind w:firstLine="720"/>
        <w:jc w:val="both"/>
      </w:pPr>
      <w:r>
        <w:rPr>
          <w:rFonts w:ascii="Times New Roman" w:cs="Times New Roman" w:eastAsia="Times New Roman" w:hAnsi="Times New Roman"/>
          <w:color w:val="000000"/>
          <w:sz w:val="24"/>
          <w:szCs w:val="24"/>
        </w:rPr>
        <w:t xml:space="preserve">Desde la perspectiva de Zehr, el reconocimiento genuino requiere congruencia entre lo que se dice, cómo se dice y cómo se expresa corporalmente. Esa congruencia es precisamente lo que el Índice de Congruencia Multimodal (ICM) busca medir: la coherencia entre el canal verbal (texto), el canal vocal (prosodia) y el canal facial (AUs, head pose, gaze). La incongruencia entre canales es la signatura computacional de la baja congruencia multimodal — de la fórmula procesal sin substancia restaurativa.</w:t>
      </w:r>
    </w:p>
    <w:p>
      <w:pPr>
        <w:spacing w:after="120"/>
      </w:pPr>
      <w:r>
        <w:rPr>
          <w:rFonts w:ascii="Times New Roman" w:cs="Times New Roman" w:eastAsia="Times New Roman" w:hAnsi="Times New Roman"/>
          <w:color w:val="000000"/>
          <w:sz w:val="24"/>
          <w:szCs w:val="24"/>
        </w:rPr>
        <w:t xml:space="preserve"/>
      </w:r>
    </w:p>
    <w:p>
      <w:pPr>
        <w:jc w:val="both"/>
        <w:spacing w:after="160" w:line="340"/>
      </w:pPr>
      <w:r>
        <w:rPr>
          <w:sz w:val="24"/>
          <w:szCs w:val="24"/>
          <w:b/>
          <w:color w:val="0D2137"/>
        </w:rPr>
        <w:t xml:space="preserve">3.5 Injusticia epistémica, decolonialidad y extensión multimodal: el marco de Fricker y sus límites</w:t>
      </w:r>
    </w:p>
    <w:p>
      <w:pPr>
        <w:jc w:val="both"/>
        <w:spacing w:after="160" w:line="340"/>
      </w:pPr>
      <w:r>
        <w:rPr>
          <w:sz w:val="22"/>
          <w:szCs w:val="22"/>
        </w:rPr>
        <w:t xml:space="preserve">Los cuatro marcos teóricos presentados hasta aquí —Galtung, Fraser, Habermas y Zehr— comparten un presupuesto que ninguno nombra explícitamente: el daño infligido a las víctimas de los falsos positivos no es solo distributivo, reconocitivo o comunicativo en abstracto. Es, antes que todo, un daño epistémico: las víctimas fueron sistemáticamente descalificadas como sujetos de conocimiento, como narradoras creíbles de su propia experiencia. El archivo judicial no solo las silenció —las hizo ininteligibles. Para nombrar filosóficamente esta dimensión es necesario incorporar el marco de Miranda Fricker (2007), cuya teoría de la injusticia epistémica provee el anclaje canónico del concepto que esta tesis operacionaliza empíricamente.</w:t>
      </w:r>
    </w:p>
    <w:p>
      <w:pPr>
        <w:jc w:val="both"/>
        <w:spacing w:after="160" w:line="340"/>
      </w:pPr>
      <w:r>
        <w:rPr>
          <w:sz w:val="22"/>
          <w:szCs w:val="22"/>
        </w:rPr>
        <w:t xml:space="preserve">Fricker distingue dos formas de injusticia epistémica. La injusticia testimonial ocurre cuando un oyente atribuye al hablante menos credibilidad de la que merece, motivado por un prejuicio identitario —de género, raza, clase o condición social. En el caso de los falsos positivos, las madres de MAFAPO fueron sometidas a injusticia testimonial sistemática: cuando declaraban ante el aparato burocrático-militar que su hijo no era guerrillero sino un civil, su testimonio era descartado no por insuficiencia probatoria sino por su posición estructural en el campo epistémico. Dotson (2011) extiende este concepto con el de testimonial smothering: el autosilenciamiento preventivo que ocurre cuando el sujeto anticipa que su testimonio será rechazado antes de emitirlo. La resistencia silenciosa de muchas familias durante años antes de organizarse en MAFAPO es, en términos de Dotson, testimonial smothering institucionalizado.</w:t>
      </w:r>
    </w:p>
    <w:p>
      <w:pPr>
        <w:jc w:val="both"/>
        <w:spacing w:after="160" w:line="340"/>
      </w:pPr>
      <w:r>
        <w:rPr>
          <w:sz w:val="22"/>
          <w:szCs w:val="22"/>
        </w:rPr>
        <w:t xml:space="preserve">La injusticia hermenéutica opera a un nivel más profundo: ocurre cuando los recursos colectivos de interpretación disponibles en una sociedad son tan deficientes que el sujeto no puede hacer inteligible su propia experiencia, ni siquiera para sí mismo. En el caso colombiano, el vocabulario bélico-institucional no era simplemente engañoso —era constitutivo de la realidad epistémica oficial. No existían conceptos institucionalmente disponibles para llamar asesinato a lo que los informes llamaban «baja en combate». El trabajo de MAFAPO, de la CIDH y de la propia JEP ha sido, en términos de Fricker, un proceso de expansión de los recursos hermenéuticos colectivos. Rojas-Andrade et al. (2025) —el único paper que aplica el marco de Fricker directamente al Macrocaso 003— documentan esta resistencia de MAFAPO como lucha por hermeneutical resources: las madres no solo buscaban justicia retributiva sino la restitución de su capacidad de hacer inteligible la muerte de sus hijos.</w:t>
      </w:r>
    </w:p>
    <w:p>
      <w:pPr>
        <w:jc w:val="both"/>
        <w:spacing w:after="160" w:line="340"/>
      </w:pPr>
      <w:r>
        <w:rPr>
          <w:sz w:val="22"/>
          <w:szCs w:val="22"/>
        </w:rPr>
        <w:t xml:space="preserve">Este marco transforma la lectura de los indicadores cuantitativos del framework CFH. El concepto de ruptura epistémica —eje articulador de la pregunta de investigación— es la operacionalización empírica de lo que Fricker denomina la corrección de la injusticia hermenéutica. El indicador y₃ (distancia léxico-civil, β=−5.34, p&lt;0.001) mide directamente el hermeneutical gap: cuanto mayor la distancia, mayor la injusticia hermenéutica vigente en el documento. Los centroides MAFAPO (y₈) y CIDH (y₉) operacionalizan vectorialmente el collective hermeneutical resource de las víctimas: la convergencia semántica hacia estos centroides es la traza cuantitativa del cierre progresivo de la brecha hermenéutica. El DIS Score puede reinterpretarse como métrica bidimensional: sus componentes capturan tanto el credibility deficit (injusticia testimonial) como el hermeneutical gap (injusticia hermenéutica). La contribución metodológica central es que Fricker describe estas formas filosóficamente pero no ofrece herramientas para medirlas a escala; el framework CFH es la primera operacionalización multivariada de la injusticia epistémica en español jurídico colombiano.</w:t>
      </w:r>
    </w:p>
    <w:p>
      <w:pPr>
        <w:jc w:val="both"/>
        <w:spacing w:after="160" w:line="340"/>
      </w:pPr>
      <w:r>
        <w:rPr>
          <w:sz w:val="22"/>
          <w:szCs w:val="22"/>
        </w:rPr>
        <w:t xml:space="preserve">La integración de Fricker no sustituye los cuatro marcos anteriores —los completa con el eslabón que los cuatro presuponen sin nombrar. Galtung describe la violencia cultural sobre el lenguaje pero no especifica el daño al sujeto como conocedor. Fraser articula el reconocimiento como paridad participativa pero no desarrolla su dimensión epistémica. Habermas identifica la distorsión comunicativa del sistema burocrático pero no la nombra como agravio epistémico específico. Zehr distingue autenticidad del reconocimiento pero no ofrece categorías para el fallo epistémico que produce el reconocimiento performativo. Fricker es el eslabón que articula estos cuatro marcos en una teoría coherente del daño que el archivo judicial colombiano produce sobre las víctimas.</w:t>
      </w:r>
    </w:p>
    <w:p>
      <w:pPr>
        <w:jc w:val="both"/>
        <w:spacing w:after="160" w:line="340"/>
      </w:pPr>
      <w:r>
        <w:rPr>
          <w:sz w:val="22"/>
          <w:szCs w:val="22"/>
        </w:rPr>
        <w:t xml:space="preserve">La incorporación del marco de Fricker en esta tesis no opera como importación de teoría europea al caso colombiano sino como identificación retrospectiva de una estructura conceptual que la resistencia epistémica de las víctimas colombianas ya estaba practicando antes de que la teoría la nombrara. Los centroides semánticos de MAFAPO —construidos con 25 textos reales de comunicados y declaraciones ante la JEP— son la operacionalización de lo que Fricker llama hermeneutical resources producidos por comunidades marginadas: recursos conceptuales que las víctimas construyeron colectivamente para hacer inteligible su experiencia cuando el léxico oficial la hacía invisible. Antes de que Fricker publicara su teoría en 2007, MAFAPO ya practicaba la resistencia epistémica que ella describe. La teoría de Fricker no se importa al caso colombiano —se descubre en él. Este marco se articula explícitamente con la crítica decolonial latinoamericana: Boaventura de Sousa Santos (2009) nombra epistemicidio lo que Fricker llama hermeneutical gap cuando opera a escala civilizatoria —la destrucción sistemática del conocimiento de los pueblos subalternos. Castillejo-Cuéllar (2016), como comisionado de la Verdad y director del Vol. VI testimonial del Informe Final de la CEV, documenta la economía narrativa del testimonio en la justicia transicional colombiana: no todos los testimonios circulan con igual capital epistémico dentro del proceso —una observación que converge con el concepto de hermeneutical marginalization de Fricker y lo ancla en el archivo real del conflicto colombiano. Wolf (2022) aplica el marco de Fricker a migrantes venezolanos en Colombia desde la filosofía colombiana contemporánea; Páez y Matida (2022) lo aplican al proceso penal colombiano. El marco adoptado en esta tesis es explícitamente híbrido: categorías analíticas de Fricker articuladas con la crítica decolonial del sur global y la filosofía y etnografía colombianas.</w:t>
      </w:r>
    </w:p>
    <w:p>
      <w:pPr>
        <w:jc w:val="both"/>
        <w:spacing w:after="160" w:line="340"/>
      </w:pPr>
      <w:r>
        <w:rPr>
          <w:sz w:val="22"/>
          <w:szCs w:val="22"/>
        </w:rPr>
        <w:t xml:space="preserve">El presente framework extiende la teoría de Fricker en una dimensión que su planteamiento original no contempla: la dimensión multimodal del acto testimonial. Fricker opera sobre el intercambio testimonial como fenómeno monomodal —la palabra hablada o escrita como único canal. Las audiencias de reconocimiento de la JEP son trimodales: texto, voz y expresión corporal simultáneamente. El Índice de Congruencia Multimodal (ICM) permite identificar un fenómeno no categorizado por Fricker: la incongruencia epistémica multimodal, que ocurre cuando el canal verbal ejecuta la restitución epistémica —el compareciente adopta el léxico de las víctimas, usa lenguaje reparatorio, reduce la distancia semántica respecto a MAFAPO— pero los canales vocal y facial generan disonancia respecto a ese contenido. En estos casos el acto de reconocimiento es epistemológicamente ambiguo: cumple las condiciones formales de la corrección hermenéutica pero no las condiciones multimodales de su habitación genuina. El caso paradigmático en el corpus es Casanare (Torres Escalante): canal verbal con baja negación de victimización pero máxima divergencia vocal-facial (Δ=0.278), combinación que ningún marco monomodal —incluyendo el de Fricker— puede capturar. Esta extensión del marco de Fricker al dominio multimodal, operacionalizada mediante el ICM tri-canal, constituye la contribución teórica más original del presente trabajo.</w:t>
      </w:r>
    </w:p>
    <w:p>
      <w:pPr>
        <w:jc w:val="both"/>
        <w:spacing w:after="80" w:line="340"/>
        <w:ind w:left="400" w:hanging="400"/>
      </w:pPr>
      <w:r>
        <w:rPr>
          <w:sz w:val="20"/>
          <w:szCs w:val="20"/>
          <w:i/>
          <w:color w:val="2E4057"/>
        </w:rPr>
        <w:t xml:space="preserve">Boaventura de Sousa Santos, B. (2009). Una epistemología del Sur: La reinvención del conocimiento y la emancipación social. Buenos Aires: CLACSO / Siglo XXI.</w:t>
      </w:r>
    </w:p>
    <w:p>
      <w:pPr>
        <w:jc w:val="both"/>
        <w:spacing w:after="80" w:line="340"/>
        <w:ind w:left="400" w:hanging="400"/>
      </w:pPr>
      <w:r>
        <w:rPr>
          <w:sz w:val="20"/>
          <w:szCs w:val="20"/>
          <w:i/>
          <w:color w:val="2E4057"/>
        </w:rPr>
        <w:t xml:space="preserve">Castillejo-Cuéllar, A. (2016). Poética de lo Otro: Para una antropología de la guerra, la soledad y el exilio interno en Colombia. Universidad de los Andes.</w:t>
      </w:r>
    </w:p>
    <w:p>
      <w:pPr>
        <w:jc w:val="both"/>
        <w:spacing w:after="80" w:line="340"/>
        <w:ind w:left="400" w:hanging="400"/>
      </w:pPr>
      <w:r>
        <w:rPr>
          <w:sz w:val="20"/>
          <w:szCs w:val="20"/>
          <w:i/>
          <w:color w:val="2E4057"/>
        </w:rPr>
        <w:t xml:space="preserve">Dotson, K. (2011). Tracking Epistemic Violence, Tracking Practices of Silencing. Hypatia, 26(2), 236–257.</w:t>
      </w:r>
    </w:p>
    <w:p>
      <w:pPr>
        <w:jc w:val="both"/>
        <w:spacing w:after="80" w:line="340"/>
        <w:ind w:left="400" w:hanging="400"/>
      </w:pPr>
      <w:r>
        <w:rPr>
          <w:sz w:val="20"/>
          <w:szCs w:val="20"/>
          <w:i/>
          <w:color w:val="2E4057"/>
        </w:rPr>
        <w:t xml:space="preserve">Fricker, M. (2007). Epistemic Injustice: Power and the Ethics of Knowing. Oxford University Press.</w:t>
      </w:r>
    </w:p>
    <w:p>
      <w:pPr>
        <w:jc w:val="both"/>
        <w:spacing w:after="80" w:line="340"/>
        <w:ind w:left="400" w:hanging="400"/>
      </w:pPr>
      <w:r>
        <w:rPr>
          <w:sz w:val="20"/>
          <w:szCs w:val="20"/>
          <w:i/>
          <w:color w:val="2E4057"/>
        </w:rPr>
        <w:t xml:space="preserve">Fricker, M. (2017). Injusticia epistémica. Trad. Ricardo García Pérez. Barcelona: Herder. ISBN 978-84-254-3927-8</w:t>
      </w:r>
    </w:p>
    <w:p>
      <w:pPr>
        <w:jc w:val="both"/>
        <w:spacing w:after="80" w:line="340"/>
        <w:ind w:left="400" w:hanging="400"/>
      </w:pPr>
      <w:r>
        <w:rPr>
          <w:sz w:val="20"/>
          <w:szCs w:val="20"/>
          <w:i/>
          <w:color w:val="2E4057"/>
        </w:rPr>
        <w:t xml:space="preserve">Medina, J. (2013). The Epistemology of Resistance. Oxford University Press.</w:t>
      </w:r>
    </w:p>
    <w:p>
      <w:pPr>
        <w:jc w:val="both"/>
        <w:spacing w:after="80" w:line="340"/>
        <w:ind w:left="400" w:hanging="400"/>
      </w:pPr>
      <w:r>
        <w:rPr>
          <w:sz w:val="20"/>
          <w:szCs w:val="20"/>
          <w:i/>
          <w:color w:val="2E4057"/>
        </w:rPr>
        <w:t xml:space="preserve">Páez, A. y Matida, J. (2022). La injusticia epistémica en el proceso penal. Estudios de Filosofía, 65. Universidad de Antioquia.</w:t>
      </w:r>
    </w:p>
    <w:p>
      <w:pPr>
        <w:jc w:val="both"/>
        <w:spacing w:after="80" w:line="340"/>
        <w:ind w:left="400" w:hanging="400"/>
      </w:pPr>
      <w:r>
        <w:rPr>
          <w:sz w:val="20"/>
          <w:szCs w:val="20"/>
          <w:i/>
          <w:color w:val="2E4057"/>
        </w:rPr>
        <w:t xml:space="preserve">Pohlhaus, G. Jr. (2012). Relational Knowing and Epistemic Injustice. Hypatia, 27(4), 715–735.</w:t>
      </w:r>
    </w:p>
    <w:p>
      <w:pPr>
        <w:jc w:val="both"/>
        <w:spacing w:after="80" w:line="340"/>
        <w:ind w:left="400" w:hanging="400"/>
      </w:pPr>
      <w:r>
        <w:rPr>
          <w:sz w:val="20"/>
          <w:szCs w:val="20"/>
          <w:i/>
          <w:color w:val="2E4057"/>
        </w:rPr>
        <w:t xml:space="preserve">Rojas-Andrade, G., Bohórquez, S., y Mantilla, A. (2025). False Positives in Colombia: State Violence, Ignorance and the Epistemic Struggles of Victims. ERLACS. https://doi.org/10.32992/erlacs.11238
Wolf, A. (2022). Presumed guilty until proven credible: epistemic injustice toward Venezuelan immigrants in Colombia. Estudios de Filosofía, 66. Universidad de Antioquia.</w:t>
      </w:r>
    </w:p>
    <w:p>
      <w:pPr>
        <w:pStyle w:val="Heading2"/>
        <w:spacing w:after="180" w:before="360"/>
        <w:outlineLvl w:val="1"/>
      </w:pPr>
      <w:r>
        <w:rPr>
          <w:rFonts w:ascii="Times New Roman" w:cs="Times New Roman" w:eastAsia="Times New Roman" w:hAnsi="Times New Roman"/>
          <w:b/>
          <w:bCs/>
          <w:color w:val="000000"/>
          <w:sz w:val="26"/>
          <w:szCs w:val="26"/>
        </w:rPr>
        <w:t>3.6 La Hermenéutica Forense Computacional: framework de tres capas</w:t>
      </w:r>
    </w:p>
    <w:p>
      <w:pPr>
        <w:spacing w:after="200" w:line="360" w:lineRule="auto"/>
        <w:ind w:firstLine="720"/>
        <w:jc w:val="both"/>
      </w:pPr>
      <w:r>
        <w:rPr>
          <w:rFonts w:ascii="Times New Roman" w:cs="Times New Roman" w:eastAsia="Times New Roman" w:hAnsi="Times New Roman"/>
          <w:color w:val="000000"/>
          <w:sz w:val="24"/>
          <w:szCs w:val="24"/>
        </w:rPr>
        <w:t xml:space="preserve">La Hermenéutica Forense Computacional (CFH) es el framework metodológico original que esta tesis desarrolla para integrar los fundamentos teóricos descritos con herramientas computacionales. El término hermenéutica se usa en su sentido gadameriano: como el arte de la interpretación de textos que llevan consigo las huellas de contextos históricos, relaciones de poder y conflictos de sentido. El adjetivo forense señala que esa interpretación se realiza sobre documentos producidos en el marco de procesos de justicia. El adjetivo computacional indica que el análisis emplea métodos de procesamiento automático de lenguaje natural a escala.</w:t>
      </w:r>
    </w:p>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9488" w:sz="1"/>
              <w:left w:val="single" w:color="0D9488" w:sz="6"/>
              <w:bottom w:val="single" w:color="0D9488" w:sz="1"/>
              <w:right w:val="single" w:color="0D9488" w:sz="1"/>
            </w:tcBorders>
            <w:shd w:fill="E8F5F3" w:val="clear"/>
            <w:tcMar>
              <w:top w:type="dxa" w:w="120"/>
              <w:left w:type="dxa" w:w="240"/>
              <w:bottom w:type="dxa" w:w="120"/>
              <w:right w:type="dxa" w:w="160"/>
            </w:tcMar>
          </w:tcPr>
          <w:p>
            <w:pPr>
              <w:spacing w:after="80"/>
            </w:pPr>
            <w:r>
              <w:rPr>
                <w:rFonts w:ascii="Times New Roman" w:cs="Times New Roman" w:eastAsia="Times New Roman" w:hAnsi="Times New Roman"/>
                <w:b/>
                <w:bCs/>
                <w:color w:val="0D2137"/>
                <w:sz w:val="22"/>
                <w:szCs w:val="22"/>
              </w:rPr>
              <w:t xml:space="preserve">Definición 3.1 — Hermenéutica Forense Computacional (CFH)</w:t>
            </w:r>
          </w:p>
          <w:p>
            <w:pPr>
              <w:spacing w:after="0"/>
              <w:jc w:val="both"/>
            </w:pPr>
            <w:r>
              <w:rPr>
                <w:rFonts w:ascii="Times New Roman" w:cs="Times New Roman" w:eastAsia="Times New Roman" w:hAnsi="Times New Roman"/>
                <w:i/>
                <w:iCs/>
                <w:color w:val="000000"/>
                <w:sz w:val="22"/>
                <w:szCs w:val="22"/>
              </w:rPr>
              <w:t xml:space="preserve">Framework multimodal de reparación algorítmica para la medición cuantitativa de la injusticia discursiva en archivos judiciales, mediante un índice de tres capas — léxica, semántica y multimodal — que operacionaliza mecanismos de violencia cultural (Galtung, 1990), falta de reconocimiento (Fraser, 1995) y colonización sistémica del lenguaje (Habermas, 1987), y evalúa la congruencia del reconocimiento oral en audiencias de justicia transicional mediante el Índice de Congruencia Multimodal (ICM).</w:t>
            </w:r>
          </w:p>
        </w:tc>
      </w:tr>
    </w:tbl>
    <w:p>
      <w:pPr>
        <w:spacing w:after="120"/>
      </w:pPr>
      <w:r>
        <w:rPr>
          <w:rFonts w:ascii="Times New Roman" w:cs="Times New Roman" w:eastAsia="Times New Roman" w:hAnsi="Times New Roman"/>
          <w:color w:val="000000"/>
          <w:sz w:val="24"/>
          <w:szCs w:val="24"/>
        </w:rPr>
        <w:t xml:space="preserve"/>
      </w:r>
    </w:p>
    <w:p>
      <w:pPr>
        <w:spacing w:after="200" w:line="360" w:lineRule="auto"/>
        <w:ind w:firstLine="720"/>
        <w:jc w:val="both"/>
      </w:pPr>
      <w:r>
        <w:rPr>
          <w:rFonts w:ascii="Times New Roman" w:cs="Times New Roman" w:eastAsia="Times New Roman" w:hAnsi="Times New Roman"/>
          <w:color w:val="000000"/>
          <w:sz w:val="24"/>
          <w:szCs w:val="24"/>
        </w:rPr>
        <w:t xml:space="preserve">La CFH se articula en tres capas analíticas que corresponden a tres niveles de profundidad en la medición de la injusticia discursiva: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600"/>
        <w:gridCol w:w="3226"/>
      </w:tblGrid>
      <w:tr>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Capa</w:t>
            </w:r>
          </w:p>
        </w:tc>
        <w:tc>
          <w:tcPr>
            <w:tcW w:type="dxa" w:w="1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Dimensión</w:t>
            </w:r>
          </w:p>
        </w:tc>
        <w:tc>
          <w:tcPr>
            <w:tcW w:type="dxa" w:w="2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Pregunta</w:t>
            </w:r>
          </w:p>
        </w:tc>
        <w:tc>
          <w:tcPr>
            <w:tcW w:type="dxa" w:w="3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Indicadores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1 — Léxica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¿Cambian las palabras?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Mecanismos de violencia discursiva en el texto</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EBI, SA, NV, REP, persona gramatical, hedging, léxico emocional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2 — Semántica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¿Cambia el significado?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Distancia semántica al polo de las víctimas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MAFAPO (y₈), Dist. CIDH (y₉), UMAP, convergencia temporal</w:t>
            </w:r>
          </w:p>
        </w:tc>
      </w:tr>
      <w:tr>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3 — Multimodal</w:t>
            </w:r>
          </w:p>
        </w:tc>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¿Es congruente?</w:t>
            </w:r>
          </w:p>
        </w:tc>
        <w:tc>
          <w:tcPr>
            <w:tcW w:type="dxa" w:w="2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Congruencia entre texto, voz y expresión facial en audiencias orales</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eGeMAPS 88 features, MediaPipe FaceLandmarker AUs, ICM</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3.1. Las tres capas del framework CFH.</w:t>
      </w:r>
    </w:p>
    <w:p>
      <w:pPr>
        <w:spacing w:after="200" w:line="360" w:lineRule="auto"/>
        <w:ind w:firstLine="720"/>
        <w:jc w:val="both"/>
      </w:pPr>
      <w:r>
        <w:rPr>
          <w:rFonts w:ascii="Times New Roman" w:cs="Times New Roman" w:eastAsia="Times New Roman" w:hAnsi="Times New Roman"/>
          <w:color w:val="000000"/>
          <w:sz w:val="24"/>
          <w:szCs w:val="24"/>
        </w:rPr>
        <w:t xml:space="preserve">La Capa 1 léxica opera sobre el Corpus A y B —sentencias escritas de la justicia ordinaria y la JEP— extrayendo los mecanismos discursivos que Galtung identifica como violencia cultural. La Capa 2 semántica opera sobre los tres corpora usando ConfliBERT-Spanish para medir la distancia semántica respecto a los polos de referencia normativa. La Capa 3 multimodal opera exclusivamente sobre el Corpus C —audiencias orales— para medir la autenticidad del reconocimiento en el sentido de Zehr. Las tres capas convergen en el Índice de Injusticia Discursiva.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3.7 El Índice de Injusticia Discursiva y el ICM</w:t>
      </w:r>
    </w:p>
    <w:p>
      <w:pPr>
        <w:pStyle w:val="Heading3"/>
        <w:spacing w:after="140" w:before="280"/>
        <w:outlineLvl w:val="2"/>
      </w:pPr>
      <w:r>
        <w:rPr>
          <w:rFonts w:ascii="Times New Roman" w:cs="Times New Roman" w:eastAsia="Times New Roman" w:hAnsi="Times New Roman"/>
          <w:b/>
          <w:bCs/>
          <w:i/>
          <w:iCs/>
          <w:color w:val="000000"/>
          <w:sz w:val="24"/>
          <w:szCs w:val="24"/>
        </w:rPr>
        <w:t>3.7.1 El Índice de Injusticia Discursiva (DIS Score)</w:t>
      </w:r>
    </w:p>
    <w:p>
      <w:pPr>
        <w:spacing w:after="200" w:line="360" w:lineRule="auto"/>
        <w:ind w:firstLine="720"/>
        <w:jc w:val="both"/>
      </w:pPr>
      <w:r>
        <w:rPr>
          <w:rFonts w:ascii="Times New Roman" w:cs="Times New Roman" w:eastAsia="Times New Roman" w:hAnsi="Times New Roman"/>
          <w:color w:val="000000"/>
          <w:sz w:val="24"/>
          <w:szCs w:val="24"/>
        </w:rPr>
        <w:t xml:space="preserve">El Discursive Injustice Score (DIS Score) es el índice cuantitativo central de la CFH. Representa el grado de injusticia discursiva presente en un segmento textual judicial, medido como una combinación de los indicadores de las tres capas. Un DIS Score alto indica mayor distancia semántica respecto a la verdad de las víctimas y mayor presencia de mecanismos de violencia cultural.</w:t>
      </w:r>
    </w:p>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9488" w:sz="1"/>
              <w:left w:val="single" w:color="0D9488" w:sz="6"/>
              <w:bottom w:val="single" w:color="0D9488" w:sz="1"/>
              <w:right w:val="single" w:color="0D9488" w:sz="1"/>
            </w:tcBorders>
            <w:shd w:fill="E8F5F3" w:val="clear"/>
            <w:tcMar>
              <w:top w:type="dxa" w:w="120"/>
              <w:left w:type="dxa" w:w="240"/>
              <w:bottom w:type="dxa" w:w="120"/>
              <w:right w:type="dxa" w:w="160"/>
            </w:tcMar>
          </w:tcPr>
          <w:p>
            <w:pPr>
              <w:spacing w:after="80"/>
            </w:pPr>
            <w:r>
              <w:rPr>
                <w:rFonts w:ascii="Times New Roman" w:cs="Times New Roman" w:eastAsia="Times New Roman" w:hAnsi="Times New Roman"/>
                <w:b/>
                <w:bCs/>
                <w:color w:val="0D2137"/>
                <w:sz w:val="22"/>
                <w:szCs w:val="22"/>
              </w:rPr>
              <w:t xml:space="preserve">Definición 3.2 — Discursive Injustice Score (DIS Score, η₁)</w:t>
            </w:r>
          </w:p>
          <w:p>
            <w:pPr>
              <w:spacing w:after="0"/>
              <w:jc w:val="both"/>
            </w:pPr>
            <w:r>
              <w:rPr>
                <w:rFonts w:ascii="Times New Roman" w:cs="Times New Roman" w:eastAsia="Times New Roman" w:hAnsi="Times New Roman"/>
                <w:i/>
                <w:iCs/>
                <w:color w:val="000000"/>
                <w:sz w:val="22"/>
                <w:szCs w:val="22"/>
              </w:rPr>
              <w:t xml:space="preserve">Variable que representa la magnitud de la injusticia discursiva en un segmento judicial, estimada a partir de indicadores de las tres capas: Capa 1 (EBI, SA, NV, persona gramatical, hedging), Capa 2 (distancia coseno MAFAPO y₈, distancia coseno CIDH y₉, surprisal y₇), y Capa 3 — solo Corpus C — (ICM, features eGeMAPS, AUs MediaPipe FaceLandmarker). La Ruptura Epistémica Positiva (REP y₁₀) es el polo opuesto del DIS Score: su presencia indica reducción de la injusticia discursiva.</w:t>
            </w:r>
          </w:p>
        </w:tc>
      </w:tr>
    </w:tbl>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2200"/>
        <w:gridCol w:w="1400"/>
        <w:gridCol w:w="3226"/>
      </w:tblGrid>
      <w:tr>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
            </w:r>
          </w:p>
        </w:tc>
        <w:tc>
          <w:tcPr>
            <w:tcW w:type="dxa" w:w="1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Variable latente</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w:t>
            </w:r>
          </w:p>
        </w:tc>
        <w:tc>
          <w:tcPr>
            <w:tcW w:type="dxa" w:w="3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Herramienta</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y₁</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EBI Score</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w:t>
            </w:r>
          </w:p>
        </w:tc>
        <w:tc>
          <w:tcPr>
            <w:tcW w:type="dxa" w:w="32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CFH-BERT v2 (IO tagging)</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y₂</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SA Score</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spaCy + dependency parsing</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y₃</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léxico civil</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TF-IDF + lexicón MAFAPO</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y₄</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NV Score</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CFH-BERT v2 (IO tagging)</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y₅</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Tipo corpus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ξ₂ Contexto Institucional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Variable categórica</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y₆</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Período normativo</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ξ₂ Contexto Institucional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Variable continua (año)</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y₇</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Surprisal</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η₁ DIS Score</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BETO log-probabilidades</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y₈</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MAFAPO</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η₁ DIS Score</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ConfliBERT-Spanish cosine</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y₉</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CIDH</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η₁ DIS Score</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ConfliBERT-Spanish cosine</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y₁₀</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REP Score</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CFH-BERT v2 (IO tagging)</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y₁₁</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Conv. restaurativa</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 C</w:t>
            </w:r>
          </w:p>
        </w:tc>
        <w:tc>
          <w:tcPr>
            <w:tcW w:type="dxa" w:w="32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Centroide restaurativo JEP</w:t>
            </w:r>
          </w:p>
        </w:tc>
      </w:tr>
      <w:tr>
        <w:tc>
          <w:tcPr>
            <w:tcW w:type="dxa" w:w="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ICM</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Congruencia multimodal</w:t>
            </w:r>
          </w:p>
        </w:tc>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 (oral)</w:t>
            </w:r>
          </w:p>
        </w:tc>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w:t>
            </w:r>
          </w:p>
        </w:tc>
        <w:tc>
          <w:tcPr>
            <w:tcW w:type="dxa" w:w="32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OpenSMILE + MediaPipe FaceLandmarker + ConfliBERT</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3.2. Indicadores del framework CFH. Amarillo = pendiente de implementación. Verde = implementado. Azul = exclusivo Corpus C.</w:t>
      </w:r>
    </w:p>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9488" w:sz="1"/>
              <w:left w:val="single" w:color="0D9488" w:sz="6"/>
              <w:bottom w:val="single" w:color="0D9488" w:sz="1"/>
              <w:right w:val="single" w:color="0D9488" w:sz="1"/>
            </w:tcBorders>
            <w:shd w:fill="E8F5F3" w:val="clear"/>
            <w:tcMar>
              <w:top w:type="dxa" w:w="120"/>
              <w:left w:type="dxa" w:w="240"/>
              <w:bottom w:type="dxa" w:w="120"/>
              <w:right w:type="dxa" w:w="160"/>
            </w:tcMar>
          </w:tcPr>
          <w:p>
            <w:pPr>
              <w:spacing w:after="80"/>
            </w:pPr>
            <w:r>
              <w:rPr>
                <w:rFonts w:ascii="Times New Roman" w:cs="Times New Roman" w:eastAsia="Times New Roman" w:hAnsi="Times New Roman"/>
                <w:b/>
                <w:bCs/>
                <w:color w:val="0D2137"/>
                <w:sz w:val="22"/>
                <w:szCs w:val="22"/>
              </w:rPr>
              <w:t xml:space="preserve">Definición 3.3 — Índice de Congruencia Multimodal (ICM)</w:t>
            </w:r>
          </w:p>
          <w:p>
            <w:pPr>
              <w:spacing w:after="0"/>
              <w:jc w:val="both"/>
            </w:pPr>
            <w:r>
              <w:rPr>
                <w:rFonts w:ascii="Times New Roman" w:cs="Times New Roman" w:eastAsia="Times New Roman" w:hAnsi="Times New Roman"/>
                <w:i/>
                <w:iCs/>
                <w:color w:val="000000"/>
                <w:sz w:val="22"/>
                <w:szCs w:val="22"/>
              </w:rPr>
              <w:t xml:space="preserve">Métrica que cuantifica la coherencia entre el canal verbal, vocal y facial de un segmento de habla en audiencias de justicia transicional. Un ICM alto (congruente) indica que el texto expresa reconocimiento (REP alto), la voz presenta marcadores prosódicos de distress emocional (shimmer alto, pausas largas, tempo reducido), y el rostro muestra AUs de distress (AU1+AU4+AU15+AU17). Un ICM bajo (incongruente) indica baja congruencia multimodal: las palabras expresan reconocimiento pero la voz es monótona y el rostro no presenta distress.</w:t>
            </w:r>
          </w:p>
        </w:tc>
      </w:tr>
    </w:tbl>
    <w:p>
      <w:pPr>
        <w:spacing w:after="120"/>
      </w:pPr>
      <w:r>
        <w:rPr>
          <w:rFonts w:ascii="Times New Roman" w:cs="Times New Roman" w:eastAsia="Times New Roman" w:hAnsi="Times New Roman"/>
          <w:color w:val="000000"/>
          <w:sz w:val="24"/>
          <w:szCs w:val="24"/>
        </w:rPr>
        <w:t xml:space="preserve"/>
      </w:r>
    </w:p>
    <w:p>
      <w:pPr>
        <w:spacing w:after="200" w:line="360" w:lineRule="auto"/>
        <w:ind w:firstLine="720"/>
        <w:jc w:val="both"/>
      </w:pPr>
      <w:r>
        <w:rPr>
          <w:rFonts w:ascii="Times New Roman" w:cs="Times New Roman" w:eastAsia="Times New Roman" w:hAnsi="Times New Roman"/>
          <w:color w:val="000000"/>
          <w:sz w:val="24"/>
          <w:szCs w:val="24"/>
        </w:rPr>
        <w:t xml:space="preserve">La distinción conceptual central del ICM es entre alta y baja congruencia multimodal, que se operacionaliza de la siguiente manera: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c>
          <w:tcPr>
            <w:tcW w:type="dxa" w:w="1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Canal</w:t>
            </w:r>
          </w:p>
        </w:tc>
        <w:tc>
          <w:tcPr>
            <w:tcW w:type="dxa" w:w="3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Alta congruencia multimodal (ICM alto)</w:t>
            </w:r>
          </w:p>
        </w:tc>
        <w:tc>
          <w:tcPr>
            <w:tcW w:type="dxa" w:w="3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Baja congruencia multimodal (ICM bajo)</w:t>
            </w:r>
          </w:p>
        </w:tc>
      </w:tr>
      <w:tr>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Verbal (texto)</w:t>
            </w:r>
          </w:p>
        </w:tc>
        <w:tc>
          <w:tcPr>
            <w:tcW w:type="dxa" w:w="3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1ª persona activa: «yo ordené», «yo les quité la vida». Léxico de reparación. REP alto.</w:t>
            </w:r>
          </w:p>
        </w:tc>
        <w:tc>
          <w:tcPr>
            <w:tcW w:type="dxa" w:w="3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Fórmula pasiva: «se reconoce la responsabilidad». REP alto pero SA alto simultáneo.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Vocal (prosodia)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Shimmer alto (quiebre de voz). Pausas largas. Tempo reducido. Pitch variable.</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Monotonía. Sin pausas. Speech rate constante. Pitch plano.</w:t>
            </w:r>
          </w:p>
        </w:tc>
      </w:tr>
      <w:tr>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Facial (AUs)</w:t>
            </w:r>
          </w:p>
        </w:tc>
        <w:tc>
          <w:tcPr>
            <w:tcW w:type="dxa" w:w="3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AU1+AU4 (inner brow raise + brow lowerer). AU15 (lip corner depressor). AU17 (chin raiser). Cabeza inclinada.</w:t>
            </w:r>
          </w:p>
        </w:tc>
        <w:tc>
          <w:tcPr>
            <w:tcW w:type="dxa" w:w="3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Sin AU1 ni distress. AU12 sin AU6 (sonrisa social). Cabeza erguida. Gaze hacia arriba.</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3.3. Operacionalización de la alta vs. baja congruencia multimodal en el ICM.</w:t>
      </w:r>
    </w:p>
    <w:p>
      <w:pPr>
        <w:spacing w:after="200" w:line="360" w:lineRule="auto"/>
        <w:ind w:firstLine="720"/>
        <w:jc w:val="both"/>
      </w:pPr>
      <w:r>
        <w:rPr>
          <w:rFonts w:ascii="Times New Roman" w:cs="Times New Roman" w:eastAsia="Times New Roman" w:hAnsi="Times New Roman"/>
          <w:color w:val="000000"/>
          <w:sz w:val="24"/>
          <w:szCs w:val="24"/>
        </w:rPr>
        <w:t xml:space="preserve">La métrica de congruencia se calcula como la desviación estándar de la valencia/arousal entre canales en ventanas de 10 segundos: alta desviación entre canales indica incongruencia (reconocimiento performativo), baja desviación indica congruencia (reconocimiento genuino). Esta métrica no requiere entrenamiento supervisado y es directamente interpretable a partir de los fundamentos teóricos de Zehr y Fraser.</w:t>
      </w:r>
    </w:p>
    <w:p>
      <w:pPr>
        <w:spacing w:after="120"/>
      </w:pPr>
      <w:r>
        <w:rPr>
          <w:rFonts w:ascii="Times New Roman" w:cs="Times New Roman" w:eastAsia="Times New Roman" w:hAnsi="Times New Roman"/>
          <w:color w:val="000000"/>
          <w:sz w:val="24"/>
          <w:szCs w:val="24"/>
        </w:rPr>
        <w:t xml:space="preserve"/>
      </w:r>
    </w:p>
    <w:p>
      <w:pPr>
        <w:pStyle w:val="Normal"/>
      </w:pPr>
      <w:r>
        <w:rPr/>
        <w:t xml:space="preserve">La conclusión general del análisis de parsimonia es que el framework CFH produce hallazgos robustos: los resultados principales no son artefactos de la especificación de pesos dentro de rangos metodológicamente plausibles. La versión DIS_v3 empírica es menos estable que DIS_v1 teórica, lo que valida la elección de los pesos habermasianos como especificación principal.</w:t>
      </w:r>
    </w:p>
    <w:p>
      <w:pPr>
        <w:pStyle w:val="Normal"/>
      </w:pPr>
      <w:r>
        <w:rPr/>
        <w:t xml:space="preserve">ICM tri-canal (N=5 subcasos): 114 combinaciones evaluadas. El 75% produce rankings con ρ≥0.90 usando valores normalizados z-score. La correlación rho(DIS, dis_tri)=+0.90 es el resultado más importante: mayor injusticia discursiva predice mayor disociación entre canales. Este análisis es exploratorio por N=5 y no tiene pretensión inferencial estadística.</w:t>
      </w:r>
    </w:p>
    <w:p>
      <w:pPr>
        <w:pStyle w:val="Normal"/>
      </w:pPr>
      <w:r>
        <w:rPr/>
        <w:t xml:space="preserve">IEI Score: 288 combinaciones evaluadas. El 90% produce rankings con ρ≥0.90. Correlación pesos teóricos vs. óptimos empíricos: ρ=1.00 — el IEI está perfectamente calibrado empíricamente. MAFAPO (d=0.570) y CIDH (d=0.543) son los componentes con mayor validación empírica.</w:t>
      </w:r>
    </w:p>
    <w:p>
      <w:pPr>
        <w:pStyle w:val="Normal"/>
      </w:pPr>
      <w:r>
        <w:rPr/>
        <w:t xml:space="preserve">DIS Score (DIS_v1, Corpus C): 90 combinaciones evaluadas. El 89% produce rankings con ρ≥0.90. La condición IEI&gt;DIS de Catatumbo se mantiene en el 100% de las combinaciones. Catatumbo = máxima disociación en el 85% de combinaciones. Los tres componentes son necesarios (leave-one-out: ρ mínima=0.70 al eliminar 1-REP).</w:t>
      </w:r>
    </w:p>
    <w:p>
      <w:pPr>
        <w:pStyle w:val="Normal"/>
      </w:pPr>
      <w:r>
        <w:rPr/>
        <w:t xml:space="preserve">Para evaluar si los hallazgos del framework CFH dependen de la especificación particular de los pesos o son robustos a variaciones plausibles, se realizó un análisis de sensibilidad exhaustivo. El análisis evaluó combinaciones sistemáticas de pesos (paso Δ=0.05) para los tres índices, midiendo la estabilidad de los rankings mediante correlación de Spearman.</w:t>
      </w:r>
    </w:p>
    <w:p>
      <w:pPr>
        <w:pStyle w:val="Heading 3"/>
      </w:pPr>
      <w:r>
        <w:rPr/>
        <w:t xml:space="preserve">§3.7.4 Análisis de parsimonia y robustez del framework CFH</w:t>
      </w:r>
    </w:p>
    <w:p>
      <w:pPr>
        <w:pStyle w:val="Normal"/>
      </w:pPr>
      <w:r>
        <w:rPr/>
        <w:t xml:space="preserve">La no-discriminación de DIS_v1 entre Corpus A y B (d=0.166, p=0.115) es un hallazgo sustantivo, no un fallo del modelo. SA y NV no discriminan entre sistemas porque la supresión de agentividad y la negación de victimización son distorsiones comunicativas constitutivas del lenguaje jurídico-institucional colombiano en general — la hipótesis habermasiana de distorsión estructural del campo jurídico. La brecha entre sistemas es epistémica (IEI: d=0.715, p&lt;0.001), no discursiva-gramatical.</w:t>
      </w:r>
    </w:p>
    <w:p>
      <w:pPr>
        <w:pStyle w:val="Normal"/>
      </w:pPr>
      <w:r>
        <w:rPr/>
        <w:t xml:space="preserve">La versión principal de la tesis es DIS_v1. La parsimonia superior de DIS_v1 (89%) respecto a DIS_v3 empírico (41%) constituye evidencia empírica de que los pesos habermasianos son más estables para el análisis del Corpus C oral que los pesos calculados directamente sobre la variación entre subcasos. El análisis leave-one-out confirma que los tres componentes de DIS_v1 son necesarios: eliminar cualquiera reduce la parsimonia, con la mayor degradación al eliminar 1−REP (ρ=0.70).</w:t>
      </w:r>
    </w:p>
    <w:p>
      <w:pPr>
        <w:pStyle w:val="Normal"/>
      </w:pPr>
      <w:r>
        <w:rPr/>
        <w:t xml:space="preserve">DIS_v3 (versión empírica Corpus C): w_SA=0.555, w_NV=0.342, w_{1-REP}=0.102. Proporcional al rango de variación entre subcasos del Corpus C (SA: 0.442, NV: 0.272, REP: 0.081). Esta versión tiene menor parsimonia que DIS_v1 (41% vs 89% de combinaciones con ρ≥0.90), confirmando que los pesos teóricos son más estables para el análisis del Corpus C que los pesos empíricos.</w:t>
      </w:r>
    </w:p>
    <w:p>
      <w:pPr>
        <w:pStyle w:val="Normal"/>
      </w:pPr>
      <w:r>
        <w:rPr/>
        <w:t xml:space="preserve">DIS_v2 (versión empírica A vs B): w_SA=0.25, w_NV=0.045, w_{1-REP}=0.705. Diseñada para comparar sistemas de justicia. Los pesos son proporcionales al estadístico d de Cohen de cada componente en la comparación Corpus A vs B (d_SA=0.131, d_NV=0.024, d_REP=0.371). Esta versión discrimina significativamente entre sistemas (d=0.481, p=0.0003) pero no es apropiada para el análisis del Corpus C oral, donde REP tiene menor variación entre comparecientes que SA y NV.</w:t>
      </w:r>
    </w:p>
    <w:p>
      <w:pPr>
        <w:pStyle w:val="Normal"/>
      </w:pPr>
      <w:r>
        <w:rPr/>
        <w:t xml:space="preserve">DIS_v1 (versión principal — pesos teóricos): w_SA=0.35, w_NV=0.35, w_{1-REP}=0.30. Diseñada para el análisis del Corpus C oral. Los pesos están determinados por los marcos de Habermas (SA: sinceridad expresiva), Galtung (NV: violencia cultural) y Fraser (1-REP: paridad participativa). El análisis de parsimonia sobre 90 combinaciones de pesos plausibles muestra que el 89% produce rankings de comparecientes con ρ≥0.90 respecto a los pesos teóricos — la mayor robustez de las tres versiones.</w:t>
      </w:r>
    </w:p>
    <w:p>
      <w:pPr>
        <w:pStyle w:val="Normal"/>
      </w:pPr>
      <w:r>
        <w:rPr/>
        <w:t xml:space="preserve">El proceso de validación empírica del DIS Score reveló que los componentes del índice tienen poder discriminante diferenciado según el nivel de análisis al que se aplique. Los indicadores que discriminan entre sistemas de justicia (Corpus A vs B) no son los mismos que discriminan entre comparecientes del Corpus C oral, lo que motivó el desarrollo de tres versiones del DIS Score con propósitos analíticos distintos.</w:t>
      </w:r>
    </w:p>
    <w:p>
      <w:pPr>
        <w:pStyle w:val="Heading 3"/>
      </w:pPr>
      <w:r>
        <w:rPr/>
        <w:t xml:space="preserve">§3.7.3 Tres versiones del DIS Score: calibración adaptativa por nivel de análisis</w:t>
      </w:r>
    </w:p>
    <w:p>
      <w:pPr>
        <w:pStyle w:val="Heading2"/>
        <w:spacing w:after="180" w:before="360"/>
        <w:outlineLvl w:val="1"/>
      </w:pPr>
      <w:r>
        <w:rPr>
          <w:rFonts w:ascii="Times New Roman" w:cs="Times New Roman" w:eastAsia="Times New Roman" w:hAnsi="Times New Roman"/>
          <w:b/>
          <w:bCs/>
          <w:color w:val="000000"/>
          <w:sz w:val="26"/>
          <w:szCs w:val="26"/>
        </w:rPr>
        <w:t>3.8 Los centroides de referencia: la Memoria de Verdad Triangulada</w:t>
      </w:r>
    </w:p>
    <w:p>
      <w:pPr>
        <w:spacing w:after="200" w:line="360" w:lineRule="auto"/>
        <w:ind w:firstLine="720"/>
        <w:jc w:val="both"/>
      </w:pPr>
      <w:r>
        <w:rPr>
          <w:rFonts w:ascii="Times New Roman" w:cs="Times New Roman" w:eastAsia="Times New Roman" w:hAnsi="Times New Roman"/>
          <w:color w:val="000000"/>
          <w:sz w:val="24"/>
          <w:szCs w:val="24"/>
        </w:rPr>
        <w:t xml:space="preserve">Una de las contribuciones metodológicas más importantes de la CFH es la construcción de lo que el marco denomina Memoria de Verdad Triangulada: el conjunto de vectores semánticos de referencia respecto a los cuales se mide la distancia discursiva de cada documento judicial. Esta construcción responde directamente a la tensión habermasiana señalada en §3.3: el reconocimiento no puede medirse como convergencia hacia cualquier consenso, sino hacia el lenguaje de los derechos y la dignidad de las víctimas.</w:t>
      </w:r>
    </w:p>
    <w:p>
      <w:pPr>
        <w:spacing w:after="200" w:line="360" w:lineRule="auto"/>
        <w:ind w:firstLine="720"/>
        <w:jc w:val="both"/>
      </w:pPr>
      <w:r>
        <w:rPr>
          <w:rFonts w:ascii="Times New Roman" w:cs="Times New Roman" w:eastAsia="Times New Roman" w:hAnsi="Times New Roman"/>
          <w:color w:val="000000"/>
          <w:sz w:val="24"/>
          <w:szCs w:val="24"/>
        </w:rPr>
        <w:t xml:space="preserve">Esta investigación utiliza dos fuentes de referencia para construir los centroides semánticos con ConfliBERT-Spanish: el centroide MAFAPO y el centroide CIDH.
El centroide MAFAPO (v4) se construye a partir de 169 textos de voz directa de víctimas de los falsos positivos organizados en cuatro bloques: (B1) 25 textos del informe MAFAPO «Unidas por la Memoria y la Verdad» (2021); (B2) 15 testimonios de Dejusticia (2024); (B3) 8 párrafos del comunicado conjunto de organizaciones de víctimas — MAFAPO, MOVICE, Colectivo Tejiendo Memorias, CJL, Asociación Minga, CJYC, Observatorio CCEEU, Humanidad Vigente (mayo 2024); y (B4) 102 segmentos de voz directa de familiares extraídos de 11 audiencias de reconocimiento y de observaciones de víctimas del Macrocaso 003 (2022–2026), transcritas con Whisper large-v3 y filtradas por densidad léxica de testimonio directo. Los segmentos del Bloque 4 reciben un peso ponderado mayor (w=1.8) que los textos escritos (w=1.0), por constituir el acto testimonial directo en su contexto de enunciación original — las audiencias JEP — y por coherencia metodológica con la Capa 3 del framework, que analiza esas mismas audiencias mediante el ICM tri-canal.
El centroide CIDH se construye a partir de 25 fragmentos reales de la sentencia Villamizar Durán y otros vs. Colombia (Corte IDH, 2018) y comunicados de la CIDH sobre ejecuciones extrajudiciales en Colombia.
La robustez del centroide MAFAPO v4 se verifica mediante tres criterios: (1) margen de error estadístico de ±7.7% (n=169, fórmula 1/raiz(n)); (2) distancia coseno entre versiones sucesivas Δ=0.0066 — variación presente pero metodológicamente aceptable dado el incremento sustancial de fuentes; y (3) reducción de la correlación entre y₈ y y₉ de r=0.875 (centroide v3b, n=67) a r=0.638 (centroide v4, n=169, p&lt;0.001), lo que confirma que los dos indicadores capturan dimensiones distintas de la injusticia epistémica. Los centroides se construyen como el promedio ponderado de los vectores semánticos de cada corpus de referencia en el espacio de ConfliBERT-Spanish, normalizados a longitud unitaria. La distancia coseno entre cada segmento judicial y estos centroides produce los indicadores y₈ y y₉ del framework.</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3.9 Síntesis: la CFH como reparación algorítmica</w:t>
      </w:r>
    </w:p>
    <w:p>
      <w:pPr>
        <w:spacing w:after="200" w:line="360" w:lineRule="auto"/>
        <w:ind w:firstLine="720"/>
        <w:jc w:val="both"/>
      </w:pPr>
      <w:r>
        <w:rPr>
          <w:rFonts w:ascii="Times New Roman" w:cs="Times New Roman" w:eastAsia="Times New Roman" w:hAnsi="Times New Roman"/>
          <w:color w:val="000000"/>
          <w:sz w:val="24"/>
          <w:szCs w:val="24"/>
        </w:rPr>
        <w:t xml:space="preserve">El marco teórico desarrollado en este capítulo puede sintetizarse en una proposición central: el archivo judicial colombiano sobre los falsos positivos es un archivo de la violencia cultural — en el sentido de Galtung — y de la falta de reconocimiento — en el sentido de Fraser — mediada por la colonización sistémica del lenguaje — en el sentido de Habermas. La CFH es una metodología para auditar esa violencia de manera sistemática, cuantitativa, multimodal y reproducible.</w:t>
      </w:r>
    </w:p>
    <w:p>
      <w:pPr>
        <w:spacing w:after="200" w:line="360" w:lineRule="auto"/>
        <w:ind w:firstLine="720"/>
        <w:jc w:val="both"/>
      </w:pPr>
      <w:r>
        <w:rPr>
          <w:rFonts w:ascii="Times New Roman" w:cs="Times New Roman" w:eastAsia="Times New Roman" w:hAnsi="Times New Roman"/>
          <w:color w:val="000000"/>
          <w:sz w:val="24"/>
          <w:szCs w:val="24"/>
        </w:rPr>
        <w:t xml:space="preserve">El concepto de reparación algorítmica denomina esta función: el uso de la inteligencia artificial para auditar el lenguaje del Estado desde la perspectiva de las víctimas. La reparación algorítmica no reemplaza la reparación real — la documenta, la mide y la audita. Y al hacerlo con un framework replicable — cuya arquitectura de tres capas puede aplicarse a archivos de justicia transicional en Guatemala, Argentina, Rwanda o cualquier otro contexto — transforma un caso concreto en un método general para la auditoría del lenguaje del Estado en procesos de posconflicto.</w:t>
      </w:r>
    </w:p>
    <w:p>
      <w:pPr>
        <w:spacing w:after="200" w:line="360" w:lineRule="auto"/>
        <w:ind w:firstLine="720"/>
        <w:jc w:val="both"/>
      </w:pPr>
      <w:r>
        <w:rPr>
          <w:rFonts w:ascii="Times New Roman" w:cs="Times New Roman" w:eastAsia="Times New Roman" w:hAnsi="Times New Roman"/>
          <w:color w:val="000000"/>
          <w:sz w:val="24"/>
          <w:szCs w:val="24"/>
        </w:rPr>
        <w:t xml:space="preserve">Auditar el archivo significa reconstruir la trayectoria discursiva del Estado colombiano respecto a las víctimas del Macrocaso 003: desde los informes militares de 2007 que describieron a Fair Leonardo Porras Bernal como «guerrillero neutralizado», pasando por las sentencias del Consejo de Estado que reprodujeron ese lenguaje sin cuestionarlo, hasta los autos de la JEP de 2021 que lo llamó por su nombre — asesinato de civil — y los reconocimientos de los comparecientes en las audiencias públicas de 2022 que pidieron perdón por su nombre, medidos mediante el ICM para determinar su grado de congruencia multimodal. Esa trayectoria es el objeto de estudio de esta tesis. El índice de injusticia discursiva es el instrumento de medición. La CFH es el marco que hace posible que esa medición sea teóricamente fundamentada, metodológicamente rigurosa y computacionalmente escalable.</w:t>
      </w:r>
    </w:p>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Austin, J. L. (1962). How to Do Things with Words. Oxford University Press.</w:t>
      </w:r>
    </w:p>
    <w:p>
      <w:pPr>
        <w:spacing w:after="120"/>
        <w:ind w:left="720" w:hanging="720"/>
        <w:jc w:val="both"/>
      </w:pPr>
      <w:r>
        <w:rPr>
          <w:rFonts w:ascii="Times New Roman" w:cs="Times New Roman" w:eastAsia="Times New Roman" w:hAnsi="Times New Roman"/>
          <w:color w:val="000000"/>
          <w:sz w:val="20"/>
          <w:szCs w:val="20"/>
        </w:rPr>
        <w:t xml:space="preserve">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Lugaresi, C., Tang, J., Nash, H., McClanahan, C., Uboweja, E., Hays, M., Zhang, F., Chang, C.-L., Yong, M. G., Lee, J., Chang, W.-T., Hua, W., Georg, M., y Grundmann, M. (2019). MediaPipe: A Framework for Building Perception Pipelines. arXiv:1906.08172. https://doi.org/10.48550/arXiv.1906.08172</w:t>
      </w:r>
    </w:p>
    <w:p>
      <w:pPr>
        <w:spacing w:after="120"/>
        <w:ind w:left="720" w:hanging="720"/>
        <w:jc w:val="both"/>
      </w:pPr>
      <w:r>
        <w:rPr>
          <w:rFonts w:ascii="Times New Roman" w:cs="Times New Roman" w:eastAsia="Times New Roman" w:hAnsi="Times New Roman"/>
          <w:color w:val="000000"/>
          <w:sz w:val="20"/>
          <w:szCs w:val="20"/>
        </w:rPr>
        <w:t xml:space="preserve">Corte IDH — Corte Interamericana de Derechos Humanos. (2018). Caso Villamizar Durán y otros vs. Colombia. Excepción Preliminar, Fondo, Reparaciones y Costas. Serie C No. 364.</w:t>
      </w:r>
    </w:p>
    <w:p>
      <w:pPr>
        <w:spacing w:after="120"/>
        <w:ind w:left="720" w:hanging="720"/>
        <w:jc w:val="both"/>
      </w:pPr>
      <w:r>
        <w:rPr>
          <w:rFonts w:ascii="Times New Roman" w:cs="Times New Roman" w:eastAsia="Times New Roman" w:hAnsi="Times New Roman"/>
          <w:color w:val="000000"/>
          <w:sz w:val="20"/>
          <w:szCs w:val="20"/>
        </w:rPr>
        <w:t xml:space="preserve">Fraser, N. (1995). From redistribution to recognition? Dilemmas of justice in a 'post-socialist' age. New Left Review, 212, 68–93.</w:t>
      </w:r>
    </w:p>
    <w:p>
      <w:pPr>
        <w:spacing w:after="120"/>
        <w:ind w:left="720" w:hanging="720"/>
        <w:jc w:val="both"/>
      </w:pPr>
      <w:r>
        <w:rPr>
          <w:rFonts w:ascii="Times New Roman" w:cs="Times New Roman" w:eastAsia="Times New Roman" w:hAnsi="Times New Roman"/>
          <w:color w:val="000000"/>
          <w:sz w:val="20"/>
          <w:szCs w:val="20"/>
        </w:rPr>
        <w:t xml:space="preserve">Fraser, N. (2008). Scales of Justice: Reimagining Political Space in a Globalizing World. Columbia University Press.</w:t>
      </w:r>
    </w:p>
    <w:p>
      <w:pPr>
        <w:spacing w:after="120"/>
        <w:ind w:left="720" w:hanging="720"/>
        <w:jc w:val="both"/>
      </w:pPr>
      <w:r>
        <w:rPr>
          <w:rFonts w:ascii="Times New Roman" w:cs="Times New Roman" w:eastAsia="Times New Roman" w:hAnsi="Times New Roman"/>
          <w:color w:val="000000"/>
          <w:sz w:val="20"/>
          <w:szCs w:val="20"/>
        </w:rPr>
        <w:t xml:space="preserve">Gadamer, H.-G. (1975). Truth and Method. Seabury Press.</w:t>
      </w:r>
    </w:p>
    <w:p>
      <w:pPr>
        <w:spacing w:after="120"/>
        <w:ind w:left="720" w:hanging="720"/>
        <w:jc w:val="both"/>
      </w:pPr>
      <w:r>
        <w:rPr>
          <w:rFonts w:ascii="Times New Roman" w:cs="Times New Roman" w:eastAsia="Times New Roman" w:hAnsi="Times New Roman"/>
          <w:color w:val="000000"/>
          <w:sz w:val="20"/>
          <w:szCs w:val="20"/>
        </w:rPr>
        <w:t xml:space="preserve">Galtung, J. (1969). Violence, peace, and peace research. Journal of Peace Research, 6(3), 167–191.</w:t>
      </w:r>
    </w:p>
    <w:p>
      <w:pPr>
        <w:spacing w:after="120"/>
        <w:ind w:left="720" w:hanging="720"/>
        <w:jc w:val="both"/>
      </w:pPr>
      <w:r>
        <w:rPr>
          <w:rFonts w:ascii="Times New Roman" w:cs="Times New Roman" w:eastAsia="Times New Roman" w:hAnsi="Times New Roman"/>
          <w:color w:val="000000"/>
          <w:sz w:val="20"/>
          <w:szCs w:val="20"/>
        </w:rPr>
        <w:t xml:space="preserve">Galtung, J. (1990). Cultural violence. Journal of Peace Research, 27(3), 291–305.</w:t>
      </w:r>
    </w:p>
    <w:p>
      <w:pPr>
        <w:spacing w:after="120"/>
        <w:ind w:left="720" w:hanging="720"/>
        <w:jc w:val="both"/>
      </w:pPr>
      <w:r>
        <w:rPr>
          <w:rFonts w:ascii="Times New Roman" w:cs="Times New Roman" w:eastAsia="Times New Roman" w:hAnsi="Times New Roman"/>
          <w:color w:val="000000"/>
          <w:sz w:val="20"/>
          <w:szCs w:val="20"/>
        </w:rPr>
        <w:t xml:space="preserve">Habermas, J. (1984). The Theory of Communicative Action, Vol. 1: Reason and the Rationalization of Society. Beacon Press.</w:t>
      </w:r>
    </w:p>
    <w:p>
      <w:pPr>
        <w:spacing w:after="120"/>
        <w:ind w:left="720" w:hanging="720"/>
        <w:jc w:val="both"/>
      </w:pPr>
      <w:r>
        <w:rPr>
          <w:rFonts w:ascii="Times New Roman" w:cs="Times New Roman" w:eastAsia="Times New Roman" w:hAnsi="Times New Roman"/>
          <w:color w:val="000000"/>
          <w:sz w:val="20"/>
          <w:szCs w:val="20"/>
        </w:rPr>
        <w:t xml:space="preserve">Habermas, J. (1987). The Theory of Communicative Action, Vol. 2: Lifeworld and System. Beacon Press.</w:t>
      </w:r>
    </w:p>
    <w:p>
      <w:pPr>
        <w:spacing w:after="120"/>
        <w:ind w:left="720" w:hanging="720"/>
        <w:jc w:val="both"/>
      </w:pPr>
      <w:r>
        <w:rPr>
          <w:rFonts w:ascii="Times New Roman" w:cs="Times New Roman" w:eastAsia="Times New Roman" w:hAnsi="Times New Roman"/>
          <w:color w:val="000000"/>
          <w:sz w:val="20"/>
          <w:szCs w:val="20"/>
        </w:rPr>
        <w:t xml:space="preserve">Habermas, J. (1996). Between Facts and Norms: Contributions to a Discourse Theory of Law and Democracy. MIT Press.</w:t>
      </w:r>
    </w:p>
    <w:p>
      <w:pPr>
        <w:spacing w:after="120"/>
        <w:ind w:left="720" w:hanging="720"/>
        <w:jc w:val="both"/>
      </w:pPr>
      <w:r>
        <w:rPr>
          <w:rFonts w:ascii="Times New Roman" w:cs="Times New Roman" w:eastAsia="Times New Roman" w:hAnsi="Times New Roman"/>
          <w:color w:val="000000"/>
          <w:sz w:val="20"/>
          <w:szCs w:val="20"/>
        </w:rPr>
        <w:t xml:space="preserve">Human Rights Watch. (2015). El rol de los altos mandos en los falsos positivos. HRW.</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(2021). Auto No. 125 de 2021 — Caso 03, Subcaso Norte de Santander. Sala de Reconocimiento de Verdad.</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(2022). Resolución de Conclusiones No. 01 de 2022 — Caso 03. Sala de Reconocimiento de Verdad.</w:t>
      </w:r>
    </w:p>
    <w:p>
      <w:pPr>
        <w:spacing w:after="120"/>
        <w:ind w:left="720" w:hanging="720"/>
        <w:jc w:val="both"/>
      </w:pPr>
      <w:r>
        <w:rPr>
          <w:rFonts w:ascii="Times New Roman" w:cs="Times New Roman" w:eastAsia="Times New Roman" w:hAnsi="Times New Roman"/>
          <w:color w:val="000000"/>
          <w:sz w:val="20"/>
          <w:szCs w:val="20"/>
        </w:rPr>
        <w:t xml:space="preserve">Kline, R. B. (2023). Principles and Practice of Structural Equation Modeling (5.ª ed.). Guilford Press.</w:t>
      </w:r>
    </w:p>
    <w:p>
      <w:pPr>
        <w:spacing w:after="120"/>
        <w:ind w:left="720" w:hanging="720"/>
        <w:jc w:val="both"/>
      </w:pPr>
      <w:r>
        <w:rPr>
          <w:rFonts w:ascii="Times New Roman" w:cs="Times New Roman" w:eastAsia="Times New Roman" w:hAnsi="Times New Roman"/>
          <w:color w:val="000000"/>
          <w:sz w:val="20"/>
          <w:szCs w:val="20"/>
        </w:rPr>
        <w:t xml:space="preserve">Lafont, C. (1999). The Linguistic Turn in Hermeneutic Philosophy. MIT Press.</w:t>
      </w:r>
    </w:p>
    <w:p>
      <w:pPr>
        <w:spacing w:after="120"/>
        <w:ind w:left="720" w:hanging="720"/>
        <w:jc w:val="both"/>
      </w:pPr>
      <w:r>
        <w:rPr>
          <w:rFonts w:ascii="Times New Roman" w:cs="Times New Roman" w:eastAsia="Times New Roman" w:hAnsi="Times New Roman"/>
          <w:color w:val="000000"/>
          <w:sz w:val="20"/>
          <w:szCs w:val="20"/>
        </w:rPr>
        <w:t xml:space="preserve">MAFAPO — Madres de Falsos Positivos de Soacha y Bogotá. (2021). Unidas por la Memoria y la Verdad. OIM / Embajada de Suecia.</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Searle, J. R. (1969). Speech Acts: An Essay in the Philosophy of Language. Cambridge University Press.</w:t>
      </w:r>
    </w:p>
    <w:p>
      <w:pPr>
        <w:spacing w:after="120"/>
        <w:ind w:left="720" w:hanging="720"/>
        <w:jc w:val="both"/>
      </w:pPr>
      <w:r>
        <w:rPr>
          <w:rFonts w:ascii="Times New Roman" w:cs="Times New Roman" w:eastAsia="Times New Roman" w:hAnsi="Times New Roman"/>
          <w:color w:val="000000"/>
          <w:sz w:val="20"/>
          <w:szCs w:val="20"/>
        </w:rPr>
        <w:t xml:space="preserve">Van Dijk, T. A. (2008). Discourse and Power. Palgrave Macmillan.</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 pp. 287–292.</w:t>
      </w:r>
    </w:p>
    <w:p>
      <w:pPr>
        <w:spacing w:after="120"/>
        <w:ind w:left="720" w:hanging="720"/>
        <w:jc w:val="both"/>
      </w:pPr>
      <w:r>
        <w:rPr>
          <w:rFonts w:ascii="Times New Roman" w:cs="Times New Roman" w:eastAsia="Times New Roman" w:hAnsi="Times New Roman"/>
          <w:color w:val="000000"/>
          <w:sz w:val="20"/>
          <w:szCs w:val="20"/>
        </w:rPr>
        <w:t xml:space="preserve">Barrett, L. F., Adolphs, R., Marsella, S., Martinez, A. M., y Pollak, S. D. (2019). Emotional Expressions Reconsidered: Challenges to Inferring Emotion From Human Facial Movements. Psychological Science in the Public Interest, 20(1), 1–68.
Crivelli, C., y Fridlund, A. J. (2018). Facial Displays Are Tools for Social Influence. Trends in Cognitive Sciences, 22(5), 388–399.
Mendelsohn, J., Tsvetkov, Y., y Jurafsky, D. (2020). A Framework for the Computational Linguistic Analysis of Dehumanization. Frontiers in Artificial Intelligence, 3, 55.
Reisenzein, R., Studtmann, M., y Horstmann, G. (2013). Coherence between Emotion and Facial Expression: Evidence from Laboratory Experiments. Emotion Review, 5(1), 16–23.
Sap, M., Swayamdipta, S., Viswanathan, L., Zhou, X., Choi, Y., y Smith, N. A. (2017). Connotation Frames of Power and Agency in Modern Films. Proceedings of EMNLP 2017, 2971–2976.
Camara, M. K., Postal, A., Maul, T. H., y Paetzold, G. H. (2024). Can lies be faked? Comparing low-stakes and high-stakes deception video datasets from a Machine Learning perspective. Expert Systems with Applications, 249, 123684. https://doi.org/10.1016/j.eswa.2024.123684
Zehr, H. (2002). The Little Book of Restorative Justice. Good Books.</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Hermenéutica Forense Computacional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2026-04-11T16:21:25.642Z</dcterms:created>
  <dcterms:modified xsi:type="dcterms:W3CDTF">2026-04-11T16:21:25.643Z</dcterms:modified>
</cp:coreProperties>
</file>

<file path=docProps/custom.xml><?xml version="1.0" encoding="utf-8"?>
<Properties xmlns="http://schemas.openxmlformats.org/officeDocument/2006/custom-properties" xmlns:vt="http://schemas.openxmlformats.org/officeDocument/2006/docPropsVTypes"/>
</file>