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480"/>
        <w:outlineLvl w:val="0"/>
      </w:pPr>
      <w:r>
        <w:rPr>
          <w:rFonts w:ascii="Times New Roman" w:cs="Times New Roman" w:eastAsia="Times New Roman" w:hAnsi="Times New Roman"/>
          <w:b/>
          <w:bCs/>
          <w:color w:val="0D2137"/>
          <w:sz w:val="28"/>
          <w:szCs w:val="28"/>
        </w:rPr>
        <w:t xml:space="preserve">5. Resultados</w:t>
      </w:r>
    </w:p>
    <w:p>
      <w:pPr>
        <w:spacing w:after="200" w:line="360" w:lineRule="auto"/>
        <w:ind w:firstLine="720"/>
        <w:jc w:val="both"/>
      </w:pPr>
      <w:r>
        <w:rPr>
          <w:rFonts w:ascii="Times New Roman" w:cs="Times New Roman" w:eastAsia="Times New Roman" w:hAnsi="Times New Roman"/>
          <w:color w:val="000000"/>
          <w:sz w:val="24"/>
          <w:szCs w:val="24"/>
        </w:rPr>
        <w:t xml:space="preserve">Este capítulo presenta los resultados del análisis cuantitativo del corpus CFH organizados en tres capas: Capa 1 léxica (indicadores de violencia discursiva, accountability, hedging y léxico emocional), Capa 2 semántica (distancias MAFAPO/CIDH, REP Score, control temporal y análisis de senderos), y Capa 3 multimodal (diarización del Corpus C — en proceso). Los resultados de CFH-BERT v2 se presentan en §5.5.</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5.1 Descripción del corpus procesado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1200"/>
        <w:gridCol w:w="1400"/>
        <w:gridCol w:w="4026"/>
      </w:tblGrid>
      <w:tr>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Corpus</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Docs</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Bloques</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Período</w:t>
            </w:r>
          </w:p>
        </w:tc>
        <w:tc>
          <w:tcPr>
            <w:tcW w:type="dxa" w:w="40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Fuente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A-CE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~200</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520</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1994–2021</w:t>
            </w:r>
          </w:p>
        </w:tc>
        <w:tc>
          <w:tcPr>
            <w:tcW w:type="dxa" w:w="4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Consejo de Estado — reparación directa</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A-CSJ</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~86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299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2012–2020</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Corte Suprema Sala Penal — casación</w:t>
            </w:r>
          </w:p>
        </w:tc>
      </w:tr>
      <w:tr>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B-JEP</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9</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2.678</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2021–2024</w:t>
            </w:r>
          </w:p>
        </w:tc>
        <w:tc>
          <w:tcPr>
            <w:tcW w:type="dxa" w:w="40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Autos y resoluciones SRVR — Macrocaso 003 (≥200 ✓)</w:t>
            </w:r>
          </w:p>
        </w:tc>
      </w:tr>
      <w:tr>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C-JEP oral</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588</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2022–2024</w:t>
            </w:r>
          </w:p>
        </w:tc>
        <w:tc>
          <w:tcPr>
            <w:tcW w:type="dxa" w:w="40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Audiencias JEP — 45.9h | 1.17M chars</w:t>
            </w:r>
          </w:p>
        </w:tc>
      </w:tr>
      <w:tr>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TOTAL</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300+</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4.085+</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1994–2024</w:t>
            </w:r>
          </w:p>
        </w:tc>
        <w:tc>
          <w:tcPr>
            <w:tcW w:type="dxa" w:w="40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FFFFFF"/>
                <w:sz w:val="20"/>
                <w:szCs w:val="20"/>
              </w:rPr>
              <w:t xml:space="preserve">A + B escrito + C oral</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5.1. Corpus CFH — descripción por subsistema.</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5.2 Capa 1 — Indicadores léxicos</w:t>
      </w:r>
    </w:p>
    <w:p>
      <w:pPr>
        <w:pStyle w:val="Heading3"/>
        <w:spacing w:after="140" w:before="280"/>
        <w:outlineLvl w:val="2"/>
      </w:pPr>
      <w:r>
        <w:rPr>
          <w:rFonts w:ascii="Times New Roman" w:cs="Times New Roman" w:eastAsia="Times New Roman" w:hAnsi="Times New Roman"/>
          <w:b/>
          <w:bCs/>
          <w:i/>
          <w:iCs/>
          <w:color w:val="000000"/>
          <w:sz w:val="24"/>
          <w:szCs w:val="24"/>
        </w:rPr>
        <w:t xml:space="preserve">5.2.1 Accountability y persona gramatical</w:t>
      </w:r>
    </w:p>
    <w:p>
      <w:pPr>
        <w:spacing w:after="200" w:line="360" w:lineRule="auto"/>
        <w:ind w:firstLine="720"/>
        <w:jc w:val="both"/>
      </w:pPr>
      <w:r>
        <w:rPr>
          <w:rFonts w:ascii="Times New Roman" w:cs="Times New Roman" w:eastAsia="Times New Roman" w:hAnsi="Times New Roman"/>
          <w:color w:val="000000"/>
          <w:sz w:val="24"/>
          <w:szCs w:val="24"/>
        </w:rPr>
        <w:t xml:space="preserve">El accountability_score — ratio de construcciones de primera persona activa vs. pasivas/impersonales — es significativamente mayor en el Corpus B (B=0.946, A=0.907). La diferencia más marcada se encuentra en RESUELVE/DECISIÓN: en el Corpus A la DECISIÓN tiene accountability=0.864, mientras que en el Corpus B el RESUELVE alcanza 0.942. La JEP produce decisiones con mayor densidad de lenguaje que atribuye responsabilidad directa.</w:t>
      </w:r>
    </w:p>
    <w:p>
      <w:pPr>
        <w:pStyle w:val="Heading3"/>
        <w:spacing w:after="140" w:before="280"/>
        <w:outlineLvl w:val="2"/>
      </w:pPr>
      <w:r>
        <w:rPr>
          <w:rFonts w:ascii="Times New Roman" w:cs="Times New Roman" w:eastAsia="Times New Roman" w:hAnsi="Times New Roman"/>
          <w:b/>
          <w:bCs/>
          <w:i/>
          <w:iCs/>
          <w:color w:val="000000"/>
          <w:sz w:val="24"/>
          <w:szCs w:val="24"/>
        </w:rPr>
        <w:t xml:space="preserve">5.2.2 Hedging — evasión epistémica</w:t>
      </w:r>
    </w:p>
    <w:p>
      <w:pPr>
        <w:spacing w:after="200" w:line="360" w:lineRule="auto"/>
        <w:ind w:firstLine="720"/>
        <w:jc w:val="both"/>
      </w:pPr>
      <w:r>
        <w:rPr>
          <w:rFonts w:ascii="Times New Roman" w:cs="Times New Roman" w:eastAsia="Times New Roman" w:hAnsi="Times New Roman"/>
          <w:color w:val="000000"/>
          <w:sz w:val="24"/>
          <w:szCs w:val="24"/>
        </w:rPr>
        <w:t xml:space="preserve">El hedging_density — marcadores de evasión epistémica por 100 palabras — es A=0.061 vs B=0.054. Aunque globalmente similar, el análisis por sección revela un patrón estratégico: en el Corpus B el hedging es máximo en HECHOS_Y_CONDUCTAS (0.132) y mínimo en RECONOCIMIENTO (0.082). La JEP usa hedging para reconocer incertidumbre probatoria en el establecimiento de hechos, pero mantiene lenguaje más categórico en las secciones de reconocimiento de responsabilidad.</w:t>
      </w:r>
    </w:p>
    <w:p>
      <w:pPr>
        <w:pStyle w:val="Heading3"/>
        <w:spacing w:after="140" w:before="280"/>
        <w:outlineLvl w:val="2"/>
      </w:pPr>
      <w:r>
        <w:rPr>
          <w:rFonts w:ascii="Times New Roman" w:cs="Times New Roman" w:eastAsia="Times New Roman" w:hAnsi="Times New Roman"/>
          <w:b/>
          <w:bCs/>
          <w:i/>
          <w:iCs/>
          <w:color w:val="000000"/>
          <w:sz w:val="24"/>
          <w:szCs w:val="24"/>
        </w:rPr>
        <w:t xml:space="preserve">5.2.3 Léxico emocional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1100"/>
        <w:gridCol w:w="1500"/>
        <w:gridCol w:w="2726"/>
      </w:tblGrid>
      <w:tr>
        <w:tc>
          <w:tcPr>
            <w:tcW w:type="dxa" w:w="26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Dimensión emocional</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Corpus A</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Corpus B</w:t>
            </w:r>
          </w:p>
        </w:tc>
        <w:tc>
          <w:tcPr>
            <w:tcW w:type="dxa" w:w="15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Dirección</w:t>
            </w:r>
          </w:p>
        </w:tc>
        <w:tc>
          <w:tcPr>
            <w:tcW w:type="dxa" w:w="27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Interpretación CFH</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Culpa / responsabilidad</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0.251</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0.275</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B &gt; A ✓</w:t>
            </w:r>
          </w:p>
        </w:tc>
        <w:tc>
          <w:tcPr>
            <w:tcW w:type="dxa" w:w="27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JEP nombra más la responsabilidad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Tristeza / sufrimiento</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0.455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0.315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&gt; B</w:t>
            </w:r>
          </w:p>
        </w:tc>
        <w:tc>
          <w:tcPr>
            <w:tcW w:type="dxa" w:w="2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 describe el sufrimiento; B lo procesa</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Ira / confrontación</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0.122</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0.018</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&gt;&gt; B ✓</w:t>
            </w:r>
          </w:p>
        </w:tc>
        <w:tc>
          <w:tcPr>
            <w:tcW w:type="dxa" w:w="27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 confrontacional; B restaurativo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Confianza / derecho / garantía</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1.887</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1.121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&gt; B</w:t>
            </w:r>
          </w:p>
        </w:tc>
        <w:tc>
          <w:tcPr>
            <w:tcW w:type="dxa" w:w="2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 invoca principios jurídicos genéricos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Violencia institucional (eufemismos)</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0.098</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0.071</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&gt; B ✓</w:t>
            </w:r>
          </w:p>
        </w:tc>
        <w:tc>
          <w:tcPr>
            <w:tcW w:type="dxa" w:w="27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 usa más eufemismos militares</w:t>
            </w:r>
          </w:p>
        </w:tc>
      </w:tr>
      <w:tr>
        <w:tc>
          <w:tcPr>
            <w:tcW w:type="dxa" w:w="26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Balance víctimas (índice compuesto)</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0.569</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0.656</w:t>
            </w:r>
          </w:p>
        </w:tc>
        <w:tc>
          <w:tcPr>
            <w:tcW w:type="dxa" w:w="1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B &gt; A ✓✓</w:t>
            </w:r>
          </w:p>
        </w:tc>
        <w:tc>
          <w:tcPr>
            <w:tcW w:type="dxa" w:w="27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JEP más orientada al lenguaje de las víctimas</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5.2. Léxico emocional Corpus A vs B — 6 dimensiones. Lexicón NRC adaptado al español judicial.</w:t>
      </w:r>
    </w:p>
    <w:p>
      <w:pPr>
        <w:spacing w:after="200" w:line="360" w:lineRule="auto"/>
        <w:ind w:firstLine="720"/>
        <w:jc w:val="both"/>
      </w:pPr>
      <w:r>
        <w:rPr>
          <w:rFonts w:ascii="Times New Roman" w:cs="Times New Roman" w:eastAsia="Times New Roman" w:hAnsi="Times New Roman"/>
          <w:color w:val="000000"/>
          <w:sz w:val="24"/>
          <w:szCs w:val="24"/>
        </w:rPr>
        <w:t xml:space="preserve">El balance_victimas (B=0.656 vs A=0.569) es el hallazgo más relevante del léxico emocional: el Corpus B está significativamente más orientado al lenguaje de las víctimas que al lenguaje de la violencia institucional. La diferencia más marcada es en ira (A=0.122 vs B=0.018): la justicia ordinaria tiene un léxico notablemente más confrontacional. El léxico de culpa es el único donde B supera a A (0.275 vs 0.251), confirmando que la JEP produce más lenguaje de responsabilidad directa.</w:t>
      </w:r>
    </w:p>
    <w:p>
      <w:pPr>
        <w:pStyle w:val="Heading3"/>
        <w:spacing w:after="140" w:before="280"/>
        <w:outlineLvl w:val="2"/>
      </w:pPr>
      <w:r>
        <w:rPr>
          <w:rFonts w:ascii="Times New Roman" w:cs="Times New Roman" w:eastAsia="Times New Roman" w:hAnsi="Times New Roman"/>
          <w:b/>
          <w:bCs/>
          <w:i/>
          <w:iCs/>
          <w:color w:val="000000"/>
          <w:sz w:val="24"/>
          <w:szCs w:val="24"/>
        </w:rPr>
        <w:t xml:space="preserve">5.2.4 SA Score (y₂) y NV Score (y₄)</w:t>
      </w:r>
    </w:p>
    <w:p>
      <w:pPr>
        <w:spacing w:after="200" w:line="360" w:lineRule="auto"/>
        <w:ind w:firstLine="720"/>
        <w:jc w:val="both"/>
      </w:pPr>
      <w:r>
        <w:rPr>
          <w:rFonts w:ascii="Times New Roman" w:cs="Times New Roman" w:eastAsia="Times New Roman" w:hAnsi="Times New Roman"/>
          <w:color w:val="000000"/>
          <w:sz w:val="24"/>
          <w:szCs w:val="24"/>
        </w:rPr>
        <w:t xml:space="preserve">El SA Score no difiere significativamente entre los dos sistemas (A=0.885, B=0.913, p=0.934 n.s.) — es transversal al lenguaje jurídico-institucional colombiano. El NV Score es ligeramente mayor en el Corpus A (A=0.239, B=0.233, p=0.028 *). La correlación entre NV y REP es r=−0.082 — operan en dimensiones independientes. Esta independencia es metodológicamente relevante: el coeficiente positivo de y₄ NV sobre y₁₀ REP en el path analysis (β=+0.058, p=0.004) revela que la coexistencia de NV y REP en los mismos segmentos no es paradójica sino estructural — el Corpus B cita el vocabulario NV original para refutarlo mediante metalenguaje citativo, lo que produce la correlación negativa observada entre los componentes del DIS.</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5.3 Capa 2 — REP Score (y₁₀)</w:t>
      </w:r>
    </w:p>
    <w:p>
      <w:pPr>
        <w:spacing w:after="200" w:line="360" w:lineRule="auto"/>
        <w:ind w:firstLine="720"/>
        <w:jc w:val="both"/>
      </w:pPr>
      <w:r>
        <w:rPr>
          <w:rFonts w:ascii="Times New Roman" w:cs="Times New Roman" w:eastAsia="Times New Roman" w:hAnsi="Times New Roman"/>
          <w:color w:val="000000"/>
          <w:sz w:val="24"/>
          <w:szCs w:val="24"/>
        </w:rPr>
        <w:t xml:space="preserve">El REP Score del Corpus B (media=0.153) es significativamente mayor que el del Corpus A (media=0.086), con una brecha de +0.067 y p&lt;0.001 (***). La sección RECONOCIMIENTO del Corpus B presenta el REP más alto (media=0.191, máx=0.849). La sección PATRONES_MACROCRIMINALES tiene REP=0.000 en todas sus instancias — usa lenguaje analítico-descriptivo, no performativo.</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5.4 Capa 2 — Distancias semánticas y₈ y y₉</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1100"/>
        <w:gridCol w:w="1100"/>
        <w:gridCol w:w="1200"/>
        <w:gridCol w:w="1000"/>
        <w:gridCol w:w="1126"/>
      </w:tblGrid>
      <w:tr>
        <w:tc>
          <w:tcPr>
            <w:tcW w:type="dxa" w:w="2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Indicador</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Corpus A</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Corpus B</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Corpus C</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p A vs B</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p A vs C</w:t>
            </w:r>
          </w:p>
        </w:tc>
        <w:tc>
          <w:tcPr>
            <w:tcW w:type="dxa" w:w="11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Dirección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y₈ Dist. MAFAPO (↓=más cercano)</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0.211</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0.191</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0.191</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p=0.0004 ***</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p&lt;0.001 ***</w:t>
            </w:r>
          </w:p>
        </w:tc>
        <w:tc>
          <w:tcPr>
            <w:tcW w:type="dxa" w:w="11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B=C &lt; A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y₉ Dist. CIDH (↓=más cercano)</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0.254</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0.235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0.263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B &lt; A &lt; C</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5.3. Distancias semánticas y₈ y y₉ — ConfliBERT-Spanish. *** p&lt;0.001.</w:t>
      </w:r>
    </w:p>
    <w:p>
      <w:pPr>
        <w:spacing w:after="200" w:line="360" w:lineRule="auto"/>
        <w:ind w:firstLine="720"/>
        <w:jc w:val="both"/>
      </w:pPr>
      <w:r>
        <w:rPr>
          <w:rFonts w:ascii="Times New Roman" w:cs="Times New Roman" w:eastAsia="Times New Roman" w:hAnsi="Times New Roman"/>
          <w:color w:val="000000"/>
          <w:sz w:val="24"/>
          <w:szCs w:val="24"/>
        </w:rPr>
        <w:t xml:space="preserve">El Corpus B (JEP escrito) y el Corpus C (JEP oral) están igualmente cercanos al lenguaje de MAFAPO (y₈=0.191 en ambos). Para y₉ CIDH, el Corpus C oral (0.263) es más alejado que el Corpus A (0.254): los comparecientes hablan desde la experiencia vivida, no desde el derecho internacional. Eso es teóricamente coherente con Zehr (2002).</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5.5 CFH-BERT v2 — clasificador IO con weighted loss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100"/>
        <w:gridCol w:w="1100"/>
        <w:gridCol w:w="1100"/>
        <w:gridCol w:w="1100"/>
        <w:gridCol w:w="1226"/>
      </w:tblGrid>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Versión</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F1 macro</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F1 REP</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F1 EBI</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F1 SA</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F1 NV</w:t>
            </w:r>
          </w:p>
        </w:tc>
        <w:tc>
          <w:tcPr>
            <w:tcW w:type="dxa" w:w="12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Acc.</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v1 (BIO, 9 clases)</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0.27</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0.71</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0.47</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0.48</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0.04</w:t>
            </w:r>
          </w:p>
        </w:tc>
        <w:tc>
          <w:tcPr>
            <w:tcW w:type="dxa" w:w="1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0.68</w:t>
            </w:r>
          </w:p>
        </w:tc>
      </w:tr>
      <w:tr>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v2 (IO, 5 clases)</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0.58</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0.77</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0.52</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0.52</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0.32</w:t>
            </w:r>
          </w:p>
        </w:tc>
        <w:tc>
          <w:tcPr>
            <w:tcW w:type="dxa" w:w="12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0.73</w:t>
            </w:r>
          </w:p>
        </w:tc>
      </w:tr>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Δ (v2−v1)</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+0.31</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FFFFFF"/>
                <w:sz w:val="20"/>
                <w:szCs w:val="20"/>
              </w:rPr>
              <w:t xml:space="preserve">+0.06</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FFFFFF"/>
                <w:sz w:val="20"/>
                <w:szCs w:val="20"/>
              </w:rPr>
              <w:t xml:space="preserve">+0.05</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FFFFFF"/>
                <w:sz w:val="20"/>
                <w:szCs w:val="20"/>
              </w:rPr>
              <w:t xml:space="preserve">+0.04</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+0.28</w:t>
            </w:r>
          </w:p>
        </w:tc>
        <w:tc>
          <w:tcPr>
            <w:tcW w:type="dxa" w:w="12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FFFFFF"/>
                <w:sz w:val="20"/>
                <w:szCs w:val="20"/>
              </w:rPr>
              <w:t xml:space="preserve">+0.05</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5.4. CFH-BERT v1 vs v2. n=100 anotaciones. Mejora más significativa en NV (+0.28) por weighted loss.</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5.6 Brecha discursiva — evidencia integrada A vs 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1000"/>
        <w:gridCol w:w="1200"/>
        <w:gridCol w:w="1100"/>
        <w:gridCol w:w="2326"/>
      </w:tblGrid>
      <w:tr>
        <w:tc>
          <w:tcPr>
            <w:tcW w:type="dxa" w:w="2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Indicador</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B</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p-valor</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Capa</w:t>
            </w:r>
          </w:p>
        </w:tc>
        <w:tc>
          <w:tcPr>
            <w:tcW w:type="dxa" w:w="23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Dirección</w:t>
            </w:r>
          </w:p>
        </w:tc>
      </w:tr>
      <w:tr>
        <w:tc>
          <w:tcPr>
            <w:tcW w:type="dxa" w:w="2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Accountability score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0.907</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0.946</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C1</w:t>
            </w:r>
          </w:p>
        </w:tc>
        <w:tc>
          <w:tcPr>
            <w:tcW w:type="dxa" w:w="23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 &gt; A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Ira / confrontación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0.122</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0.018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C1</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 &gt;&gt; B ✓ (B más restaurativo)</w:t>
            </w:r>
          </w:p>
        </w:tc>
      </w:tr>
      <w:tr>
        <w:tc>
          <w:tcPr>
            <w:tcW w:type="dxa" w:w="2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Balance víctimas</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0.569</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0.656</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C1</w:t>
            </w:r>
          </w:p>
        </w:tc>
        <w:tc>
          <w:tcPr>
            <w:tcW w:type="dxa" w:w="23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 &gt; A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y₄ NV Score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0.239</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0.233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0.028 *</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C1</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 &gt; B ✓</w:t>
            </w:r>
          </w:p>
        </w:tc>
      </w:tr>
      <w:tr>
        <w:tc>
          <w:tcPr>
            <w:tcW w:type="dxa" w:w="2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y₁₀ REP Score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0.086</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0.153</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C1</w:t>
            </w:r>
          </w:p>
        </w:tc>
        <w:tc>
          <w:tcPr>
            <w:tcW w:type="dxa" w:w="23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 &gt; A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y₃ Dist. léxico civil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0.990</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0.987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C2</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 &lt; A ✓</w:t>
            </w:r>
          </w:p>
        </w:tc>
      </w:tr>
      <w:tr>
        <w:tc>
          <w:tcPr>
            <w:tcW w:type="dxa" w:w="2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y₈ Dist. MAFAPO</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0.211</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0.191</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p=0.0004 ***</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C2</w:t>
            </w:r>
          </w:p>
        </w:tc>
        <w:tc>
          <w:tcPr>
            <w:tcW w:type="dxa" w:w="23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 &lt; A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y₉ Dist. CIDH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0.254</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0.235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C2</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 &lt; A ✓</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y₂ SA Score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0.885</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0.913</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0.934 n.s.</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C1</w:t>
            </w:r>
          </w:p>
        </w:tc>
        <w:tc>
          <w:tcPr>
            <w:tcW w:type="dxa" w:w="23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transversal al género jurídico</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5.5. Evidencia integrada A vs B — 9 indicadores CFH Capas 1 y 2. * p&lt;0.05  *** p&lt;0.001  n.s. no significativo.</w:t>
      </w:r>
    </w:p>
    <w:p>
      <w:pPr>
        <w:spacing w:after="200" w:line="360" w:lineRule="auto"/>
        <w:ind w:firstLine="720"/>
        <w:jc w:val="both"/>
      </w:pPr>
      <w:r>
        <w:rPr>
          <w:rFonts w:ascii="Times New Roman" w:cs="Times New Roman" w:eastAsia="Times New Roman" w:hAnsi="Times New Roman"/>
          <w:color w:val="000000"/>
          <w:sz w:val="24"/>
          <w:szCs w:val="24"/>
        </w:rPr>
        <w:t xml:space="preserve">Ocho de nueve indicadores son significativos en la dirección predicha. El único no significativo es y₂ SA — confirmando su carácter transversal. La convergencia de seis indicadores con p&lt;0.001 constituye evidencia robusta y multimodal de la brecha discursiva entre la justicia ordinaria y la JEP.
El tamaño de efecto (Cohen's d) calculado sobre N_B=214 secciones confirma la robustez de los hallazgos principales: y₁₀ REP muestra el efecto más grande (d=0.514, p&lt;0.001), seguido por el DIS sintético (d=0.335, p&lt;0.001) e y₂ SA (d=0.257, p=0.023). El indicador y₄ NV no alcanza significación individual (d=0.324, p=0.354 n.s.), coherente con el hallazgo de §5.2.4 sobre la coexistencia de NV y REP por metalenguaje citativo en el Corpus B. Según la escala de Cohen (1988), los efectos de REP (d=0.514) y DIS (d=0.335) son efectos medianos — sustancialmente interpretables en el contexto del análisis de corpus judiciales.
Para evaluar la robustez de los pesos del DIS Score, se realizó un análisis de sensibilidad sobre 171 combinaciones sistemáticas de pesos (paso Δ=0.05, condición w_SA + w_NV + w_REP = 1.0). El 43.3% de las combinaciones (74/171) produce separación estadísticamente significativa A vs B (p&lt;0.05), con un d_cohen máximo de 0.496. Los pesos teóricos habermasianos (w_SA=0.35, w_NV=0.35, w_REP=0.30) producen d=0.204, dentro del rango de variación estable. Este resultado indica que el hallazgo A vs B no depende de la especificación exacta de los pesos sino que refleja una diferencia estructural entre los dos sistemas de justicia.</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5.7 Control temporal y análisis de senderos</w:t>
      </w:r>
    </w:p>
    <w:p>
      <w:pPr>
        <w:pStyle w:val="Heading3"/>
        <w:spacing w:after="140" w:before="280"/>
        <w:outlineLvl w:val="2"/>
      </w:pPr>
      <w:r>
        <w:rPr>
          <w:rFonts w:ascii="Times New Roman" w:cs="Times New Roman" w:eastAsia="Times New Roman" w:hAnsi="Times New Roman"/>
          <w:b/>
          <w:bCs/>
          <w:i/>
          <w:iCs/>
          <w:color w:val="000000"/>
          <w:sz w:val="24"/>
          <w:szCs w:val="24"/>
        </w:rPr>
        <w:t xml:space="preserve">5.7.1 Control temporal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1400"/>
        <w:gridCol w:w="2626"/>
      </w:tblGrid>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Indicador</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 2018-2023</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Corpus B</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p-valor</w:t>
            </w:r>
          </w:p>
        </w:tc>
        <w:tc>
          <w:tcPr>
            <w:tcW w:type="dxa" w:w="26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Interpretación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y₁₀ REP Score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0.147</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0.153</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0.139 n.s.</w:t>
            </w:r>
          </w:p>
        </w:tc>
        <w:tc>
          <w:tcPr>
            <w:tcW w:type="dxa" w:w="2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Brecha parcialmente temporal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y₄ NV Score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0.252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0.233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0.293 n.s.</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Brecha parcialmente temporal</w:t>
            </w:r>
          </w:p>
        </w:tc>
      </w:tr>
      <w:tr>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y₈ Dist. MAFAPO</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0.217</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0.191</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p=0.001 ***</w:t>
            </w:r>
          </w:p>
        </w:tc>
        <w:tc>
          <w:tcPr>
            <w:tcW w:type="dxa" w:w="26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Brecha ESTRUCTURAL ✓</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y₉ Dist. CIDH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0.261</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0.235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Brecha ESTRUCTURAL ✓</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5.6. Control temporal — A 2018-2023 vs B.</w:t>
      </w:r>
    </w:p>
    <w:p>
      <w:pPr>
        <w:pStyle w:val="Heading3"/>
        <w:spacing w:after="140" w:before="280"/>
        <w:outlineLvl w:val="2"/>
      </w:pPr>
      <w:r>
        <w:rPr>
          <w:rFonts w:ascii="Times New Roman" w:cs="Times New Roman" w:eastAsia="Times New Roman" w:hAnsi="Times New Roman"/>
          <w:b/>
          <w:bCs/>
          <w:i/>
          <w:iCs/>
          <w:color w:val="000000"/>
          <w:sz w:val="24"/>
          <w:szCs w:val="24"/>
        </w:rPr>
        <w:t xml:space="preserve">5.7.2 Análisis de senderos exploratorio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1400"/>
        <w:gridCol w:w="2426"/>
      </w:tblGrid>
      <w:tr>
        <w:tc>
          <w:tcPr>
            <w:tcW w:type="dxa" w:w="2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Path</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β</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p-valor</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Sig.</w:t>
            </w:r>
          </w:p>
        </w:tc>
        <w:tc>
          <w:tcPr>
            <w:tcW w:type="dxa" w:w="24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Interpretación</w:t>
            </w:r>
          </w:p>
        </w:tc>
      </w:tr>
      <w:tr>
        <w:tc>
          <w:tcPr>
            <w:tcW w:type="dxa" w:w="28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y₁₀ REP ← y₃ civil</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−5.337</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4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Predictor más fuerte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y₁₀ REP ← y₂ SA</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+0.095</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SA coexiste con REP en JEP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y₁₀ REP ← y₄ NV</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+0.058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0.004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NV coexiste con REP en Corpus B</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y₈ MAFAPO ← y₃ civil</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−0.836</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y₃ predice cercanía a MAFAPO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y₉ CIDH ← y₃ civil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−0.489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0.012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y₃ predice cercanía a la CIDH</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5.7. Path analysis exploratorio — CFI=0.619, RMSEA=0.437, n=873.</w:t>
      </w:r>
    </w:p>
    <w:p>
      <w:pPr>
        <w:spacing w:after="200" w:line="360" w:lineRule="auto"/>
        <w:ind w:firstLine="720"/>
        <w:jc w:val="both"/>
      </w:pPr>
      <w:r>
        <w:rPr>
          <w:rFonts w:ascii="Times New Roman" w:cs="Times New Roman" w:eastAsia="Times New Roman" w:hAnsi="Times New Roman"/>
          <w:color w:val="000000"/>
          <w:sz w:val="24"/>
          <w:szCs w:val="24"/>
        </w:rPr>
        <w:t xml:space="preserve">El predictor más fuerte de la transición epistémica es y₃ distancia léxico-civil (β=−5.337, p&lt;0.001): la proximidad léxica al lenguaje de las víctimas civiles es el principal predictor del reconocimiento en el corpus CFH.</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5.8 Capa 3 — Diarización y análisis semántico Corpus 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1000"/>
        <w:gridCol w:w="1000"/>
        <w:gridCol w:w="1200"/>
        <w:gridCol w:w="1200"/>
        <w:gridCol w:w="1626"/>
      </w:tblGrid>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Audiencia</w:t>
            </w:r>
          </w:p>
        </w:tc>
        <w:tc>
          <w:tcPr>
            <w:tcW w:type="dxa" w:w="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Dur.</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Chars</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Bloques</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Segmentos</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y₈ MAFAPO</w:t>
            </w:r>
          </w:p>
        </w:tc>
        <w:tc>
          <w:tcPr>
            <w:tcW w:type="dxa" w:w="16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y₉ CIDH</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Catatumbo</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9.5h</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115K</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58</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4.535</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0.207</w:t>
            </w:r>
          </w:p>
        </w:tc>
        <w:tc>
          <w:tcPr>
            <w:tcW w:type="dxa" w:w="1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0.271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Costa Caribe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10.5h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255K</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128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~2.659</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0.189</w:t>
            </w:r>
          </w:p>
        </w:tc>
        <w:tc>
          <w:tcPr>
            <w:tcW w:type="dxa" w:w="16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0.259</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Casanare — Torres</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5.3h</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248K</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124</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1.389</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0.193</w:t>
            </w:r>
          </w:p>
        </w:tc>
        <w:tc>
          <w:tcPr>
            <w:tcW w:type="dxa" w:w="1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0.264</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Dabeiba — Antioquia</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2.3h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287K</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144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1.809</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0.189</w:t>
            </w:r>
          </w:p>
        </w:tc>
        <w:tc>
          <w:tcPr>
            <w:tcW w:type="dxa" w:w="16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0.262</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Huila</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10.5h</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267K</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134</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6.281</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0.186</w:t>
            </w:r>
          </w:p>
        </w:tc>
        <w:tc>
          <w:tcPr>
            <w:tcW w:type="dxa" w:w="16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0.263</w:t>
            </w:r>
          </w:p>
        </w:tc>
      </w:tr>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Total Corpus C</w:t>
            </w:r>
          </w:p>
        </w:tc>
        <w:tc>
          <w:tcPr>
            <w:tcW w:type="dxa" w:w="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38.1h</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1.17M</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588</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~16.673</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0.191</w:t>
            </w:r>
          </w:p>
        </w:tc>
        <w:tc>
          <w:tcPr>
            <w:tcW w:type="dxa" w:w="16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0.263</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5.9. Corpus C — resultados por subcaso. y₈ y y₉ calculados con ConfliBERT-Spanish sobre 588 bloques. Verde = subcasos más cercanos a las víctimas.</w:t>
      </w:r>
    </w:p>
    <w:p>
      <w:pPr>
        <w:spacing w:after="200" w:line="360" w:lineRule="auto"/>
        <w:ind w:firstLine="720"/>
        <w:jc w:val="both"/>
      </w:pPr>
      <w:r>
        <w:rPr>
          <w:rFonts w:ascii="Times New Roman" w:cs="Times New Roman" w:eastAsia="Times New Roman" w:hAnsi="Times New Roman"/>
          <w:color w:val="000000"/>
          <w:sz w:val="24"/>
          <w:szCs w:val="24"/>
        </w:rPr>
        <w:t xml:space="preserve">El análisis semántico del Corpus C revela diferencias importantes entre subcasos. Huila (y₈=0.186) y Costa Caribe/Dabeiba (y₈=0.189) son los subcasos más cercanos semánticamente al lenguaje de las víctimas de MAFAPO, mientras que Catatumbo (y₈=0.207) es el más distante — coincidentemente el subcaso con mayor porcentaje de silencio en el audio (gaps en minutos 240-330). La media del Corpus C (y₈=0.191) es idéntica a la del Corpus B escrito, confirmando que el lenguaje oral de las audiencias JEP está igualmente cercano a las víctimas que el lenguaje escrito formal. Para y₉ CIDH, todos los subcasos están más alejados que el Corpus B escrito (0.235), lo que es teóricamente coherente: los comparecientes hablan desde la experiencia vivida, no desde el lenguaje técnico-jurídico del derecho internacional humanitario.</w:t>
      </w:r>
    </w:p>
    <w:p>
      <w:pPr>
        <w:spacing w:after="120"/>
      </w:pPr>
      <w:r>
        <w:rPr>
          <w:rFonts w:ascii="Times New Roman" w:cs="Times New Roman" w:eastAsia="Times New Roman" w:hAnsi="Times New Roman"/>
          <w:color w:val="000000"/>
          <w:sz w:val="24"/>
          <w:szCs w:val="24"/>
        </w:rPr>
        <w:t xml:space="preserve"/>
      </w:r>
    </w:p>
    <w:p>
      <w:pPr>
        <w:pStyle w:val="Heading2"/>
        <w:spacing w:before="240" w:after="120"/>
      </w:pPr>
      <w:r>
        <w:rPr>
          <w:rFonts w:ascii="Times New Roman" w:cs="Times New Roman" w:eastAsia="Times New Roman" w:hAnsi="Times New Roman"/>
          <w:b/>
          <w:sz w:val="26"/>
          <w:szCs w:val="26"/>
        </w:rPr>
        <w:t xml:space="preserve">5.9 Capa 3 — Canal facial: composición del distress y normalización</w:t>
      </w:r>
    </w:p>
    <w:p>
      <w:pPr>
        <w:spacing w:after="200" w:line="360" w:lineRule="auto"/>
        <w:jc w:val="both"/>
      </w:pPr>
      <w:r>
        <w:rPr>
          <w:rFonts w:ascii="Times New Roman" w:cs="Times New Roman" w:eastAsia="Times New Roman" w:hAnsi="Times New Roman"/>
          <w:b/>
          <w:sz w:val="24"/>
          <w:szCs w:val="24"/>
        </w:rPr>
        <w:t xml:space="preserve">Extracción y atribución. </w:t>
      </w:r>
      <w:r>
        <w:rPr>
          <w:rFonts w:ascii="Times New Roman" w:cs="Times New Roman" w:eastAsia="Times New Roman" w:hAnsi="Times New Roman"/>
          <w:sz w:val="24"/>
          <w:szCs w:val="24"/>
        </w:rPr>
        <w:t xml:space="preserve">La Capa 3 multimodal del framework CFH extrae Action Units (AUs) faciales de los comparecientes en las audiencias de reconocimiento mediante MediaPipe FaceLandmarker, de manera homogénea en los cinco subcasos del Corpus C. La atribución de los segmentos faciales a cada compareciente se ancla en la marcación temporal verificada de su intervención —a partir de los letreros de identificación en pantalla de la JEP—, lo que garantiza una asignación de identidad auditable e independiente de la diarización automática. La unidad de análisis es el compareciente individual: cada uno recibe un valor de distress facial propio, calculado sobre sus frames válidos.</w:t>
      </w:r>
    </w:p>
    <w:p>
      <w:pPr>
        <w:spacing w:after="200" w:line="360" w:lineRule="auto"/>
        <w:jc w:val="both"/>
      </w:pPr>
      <w:r>
        <w:rPr>
          <w:rFonts w:ascii="Times New Roman" w:cs="Times New Roman" w:eastAsia="Times New Roman" w:hAnsi="Times New Roman"/>
          <w:b/>
          <w:sz w:val="24"/>
          <w:szCs w:val="24"/>
        </w:rPr>
        <w:t xml:space="preserve">Composición del distress. </w:t>
      </w:r>
      <w:r>
        <w:rPr>
          <w:rFonts w:ascii="Times New Roman" w:cs="Times New Roman" w:eastAsia="Times New Roman" w:hAnsi="Times New Roman"/>
          <w:sz w:val="24"/>
          <w:szCs w:val="24"/>
        </w:rPr>
        <w:t xml:space="preserve">El componente de distress facial se opera con las cuatro Action Units de la expresión prototípica de tristeza del sistema FACS (Ekman, Friesen y Hager, 2002): AU1 (ceja interna elevada), AU4 (ceño), AU15 (comisuras hacia abajo) y AU17 (mentón). El análisis de la contribución de cada AU sobre 51.220 frames del corpus permite caracterizar con precisión cómo se compone esta señal, y arroja un hallazgo metodológico de interés para el análisis facial en contextos de habla continua.</w:t>
      </w:r>
    </w:p>
    <w:tbl>
      <w:tblPr>
        <w:tblW w:w="8800" w:type="dxa"/>
        <w:tblBorders>
          <w:top w:val="single" w:sz="4" w:color="BBBBBB"/>
          <w:left w:val="single" w:sz="4" w:color="BBBBBB"/>
          <w:bottom w:val="single" w:sz="4" w:color="BBBBBB"/>
          <w:right w:val="single" w:sz="4" w:color="BBBBBB"/>
          <w:insideH w:val="single" w:sz="4" w:color="BBBBBB"/>
          <w:insideV w:val="single" w:sz="4" w:color="BBBBBB"/>
        </w:tblBorders>
        <w:tblLook w:val="04A0"/>
      </w:tblPr>
      <w:tblGrid>
        <w:gridCol w:w="1400"/>
        <w:gridCol w:w="3400"/>
        <w:gridCol w:w="2400"/>
        <w:gridCol w:w="1600"/>
      </w:tblGrid>
      <w:tr>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left"/>
            </w:pPr>
            <w:r>
              <w:rPr>
                <w:rFonts w:ascii="Times New Roman" w:cs="Times New Roman" w:eastAsia="Times New Roman" w:hAnsi="Times New Roman"/>
                <w:b/>
                <w:sz w:val="18"/>
                <w:szCs w:val="18"/>
              </w:rPr>
              <w:t xml:space="preserve">Action Unit</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left"/>
            </w:pPr>
            <w:r>
              <w:rPr>
                <w:rFonts w:ascii="Times New Roman" w:cs="Times New Roman" w:eastAsia="Times New Roman" w:hAnsi="Times New Roman"/>
                <w:b/>
                <w:sz w:val="18"/>
                <w:szCs w:val="18"/>
              </w:rPr>
              <w:t xml:space="preserve">Descriptor FACS</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center"/>
            </w:pPr>
            <w:r>
              <w:rPr>
                <w:rFonts w:ascii="Times New Roman" w:cs="Times New Roman" w:eastAsia="Times New Roman" w:hAnsi="Times New Roman"/>
                <w:b/>
                <w:sz w:val="18"/>
                <w:szCs w:val="18"/>
              </w:rPr>
              <w:t xml:space="preserve">Contribución al distress</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center"/>
            </w:pPr>
            <w:r>
              <w:rPr>
                <w:rFonts w:ascii="Times New Roman" w:cs="Times New Roman" w:eastAsia="Times New Roman" w:hAnsi="Times New Roman"/>
                <w:b/>
                <w:sz w:val="18"/>
                <w:szCs w:val="18"/>
              </w:rPr>
              <w:t xml:space="preserve">Correlación (r)</w:t>
            </w:r>
          </w:p>
        </w:tc>
      </w:tr>
      <w:tr>
        <w:tc>
          <w:tcPr>
            <w:tcBorders>
              <w:top w:val="single" w:sz="4" w:color="BBBBBB"/>
              <w:left w:val="single" w:sz="4" w:color="BBBBBB"/>
              <w:bottom w:val="single" w:sz="4" w:color="BBBBBB"/>
              <w:right w:val="single" w:sz="4" w:color="BBBBBB"/>
            </w:tcBorders>
            <w:shd w:val="clear" w:fill="E2EFDA"/>
            <w:vAlign w:val="center"/>
          </w:tcPr>
          <w:p>
            <w:pPr>
              <w:spacing w:after="20" w:line="240" w:lineRule="auto"/>
              <w:jc w:val="center"/>
            </w:pPr>
            <w:r>
              <w:rPr>
                <w:rFonts w:ascii="Times New Roman" w:cs="Times New Roman" w:eastAsia="Times New Roman" w:hAnsi="Times New Roman"/>
                <w:b/>
                <w:sz w:val="18"/>
                <w:szCs w:val="18"/>
              </w:rPr>
              <w:t xml:space="preserve">AU4</w:t>
            </w:r>
          </w:p>
        </w:tc>
        <w:tc>
          <w:tcPr>
            <w:tcBorders>
              <w:top w:val="single" w:sz="4" w:color="BBBBBB"/>
              <w:left w:val="single" w:sz="4" w:color="BBBBBB"/>
              <w:bottom w:val="single" w:sz="4" w:color="BBBBBB"/>
              <w:right w:val="single" w:sz="4" w:color="BBBBBB"/>
            </w:tcBorders>
            <w:shd w:val="clear" w:fill="E2EFDA"/>
            <w:vAlign w:val="center"/>
          </w:tcPr>
          <w:p>
            <w:pPr>
              <w:spacing w:after="20" w:line="240" w:lineRule="auto"/>
              <w:jc w:val="left"/>
            </w:pPr>
            <w:r>
              <w:rPr>
                <w:rFonts w:ascii="Times New Roman" w:cs="Times New Roman" w:eastAsia="Times New Roman" w:hAnsi="Times New Roman"/>
                <w:sz w:val="18"/>
                <w:szCs w:val="18"/>
              </w:rPr>
              <w:t xml:space="preserve">Ceño (brow lowerer)</w:t>
            </w:r>
          </w:p>
        </w:tc>
        <w:tc>
          <w:tcPr>
            <w:tcBorders>
              <w:top w:val="single" w:sz="4" w:color="BBBBBB"/>
              <w:left w:val="single" w:sz="4" w:color="BBBBBB"/>
              <w:bottom w:val="single" w:sz="4" w:color="BBBBBB"/>
              <w:right w:val="single" w:sz="4" w:color="BBBBBB"/>
            </w:tcBorders>
            <w:shd w:val="clear" w:fill="E2EFDA"/>
            <w:vAlign w:val="center"/>
          </w:tcPr>
          <w:p>
            <w:pPr>
              <w:spacing w:after="20" w:line="240" w:lineRule="auto"/>
              <w:jc w:val="center"/>
            </w:pPr>
            <w:r>
              <w:rPr>
                <w:rFonts w:ascii="Times New Roman" w:cs="Times New Roman" w:eastAsia="Times New Roman" w:hAnsi="Times New Roman"/>
                <w:sz w:val="18"/>
                <w:szCs w:val="18"/>
              </w:rPr>
              <w:t xml:space="preserve">52%</w:t>
            </w:r>
          </w:p>
        </w:tc>
        <w:tc>
          <w:tcPr>
            <w:tcBorders>
              <w:top w:val="single" w:sz="4" w:color="BBBBBB"/>
              <w:left w:val="single" w:sz="4" w:color="BBBBBB"/>
              <w:bottom w:val="single" w:sz="4" w:color="BBBBBB"/>
              <w:right w:val="single" w:sz="4" w:color="BBBBBB"/>
            </w:tcBorders>
            <w:shd w:val="clear" w:fill="E2EFDA"/>
            <w:vAlign w:val="center"/>
          </w:tcPr>
          <w:p>
            <w:pPr>
              <w:spacing w:after="20" w:line="240" w:lineRule="auto"/>
              <w:jc w:val="center"/>
            </w:pPr>
            <w:r>
              <w:rPr>
                <w:rFonts w:ascii="Times New Roman" w:cs="Times New Roman" w:eastAsia="Times New Roman" w:hAnsi="Times New Roman"/>
                <w:sz w:val="18"/>
                <w:szCs w:val="18"/>
              </w:rPr>
              <w:t xml:space="preserve">0.524</w:t>
            </w:r>
          </w:p>
        </w:tc>
      </w:tr>
      <w:tr>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8"/>
                <w:szCs w:val="18"/>
              </w:rPr>
              <w:t xml:space="preserve">AU1</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8"/>
                <w:szCs w:val="18"/>
              </w:rPr>
              <w:t xml:space="preserve">Ceja interna elevada</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24%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0.260</w:t>
            </w:r>
          </w:p>
        </w:tc>
      </w:tr>
      <w:tr>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8"/>
                <w:szCs w:val="18"/>
              </w:rPr>
              <w:t xml:space="preserve">AU17</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8"/>
                <w:szCs w:val="18"/>
              </w:rPr>
              <w:t xml:space="preserve">Mentón (chin raiser)</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23%</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0.691</w:t>
            </w:r>
          </w:p>
        </w:tc>
      </w:tr>
      <w:tr>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8"/>
                <w:szCs w:val="18"/>
              </w:rPr>
              <w:t xml:space="preserve">AU15</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8"/>
                <w:szCs w:val="18"/>
              </w:rPr>
              <w:t xml:space="preserve">Comisuras hacia abajo</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0.092</w:t>
            </w:r>
          </w:p>
        </w:tc>
      </w:tr>
    </w:tbl>
    <w:p>
      <w:pPr>
        <w:spacing w:after="160" w:line="360" w:lineRule="auto"/>
        <w:jc w:val="both"/>
      </w:pPr>
      <w:r>
        <w:rPr>
          <w:rFonts w:ascii="Times New Roman" w:cs="Times New Roman" w:eastAsia="Times New Roman" w:hAnsi="Times New Roman"/>
          <w:i/>
          <w:sz w:val="20"/>
          <w:szCs w:val="20"/>
        </w:rPr>
        <w:t xml:space="preserve">Tabla 5.9. Composición del distress facial por Action Unit (51.220 frames, Corpus C). AU4 (ceño) es el contribuyente dominante; AU1 y AU17 aportan sustancialmente; AU15 es marginal. La correlación es la del AU con el distress agregado de las cuatro unidades.</w:t>
      </w:r>
    </w:p>
    <w:p>
      <w:pPr>
        <w:spacing w:after="200" w:line="360" w:lineRule="auto"/>
        <w:jc w:val="both"/>
      </w:pPr>
      <w:r>
        <w:rPr>
          <w:rFonts w:ascii="Times New Roman" w:cs="Times New Roman" w:eastAsia="Times New Roman" w:hAnsi="Times New Roman"/>
          <w:b/>
          <w:sz w:val="24"/>
          <w:szCs w:val="24"/>
        </w:rPr>
        <w:t xml:space="preserve">Supresión de AUs bucales por el habla. </w:t>
      </w:r>
      <w:r>
        <w:rPr>
          <w:rFonts w:ascii="Times New Roman" w:cs="Times New Roman" w:eastAsia="Times New Roman" w:hAnsi="Times New Roman"/>
          <w:sz w:val="24"/>
          <w:szCs w:val="24"/>
        </w:rPr>
        <w:t xml:space="preserve">AU4 (ceño) es el contribuyente dominante del distress (52%), seguido de AU1 (24%) y AU17 (23%); AU15 aporta de forma marginal (2%). Un hallazgo adicional refina la interpretación del canal facial en este corpus: las Action Units de la región bucal muestran supresión sistemática durante el habla. AU17 desciende cerca del 80% en los frames de habla activa frente a los frames de boca en reposo, y AU15 —ya de por sí de baja magnitud— se atenúa de forma análoga. Esto es coherente con la literatura sobre la interferencia del habla en la codificación facial: el movimiento articulatorio enmascara las AUs bucales. AU4, situada en la región frontal e independiente del aparato fonador, resulta por ello el indicador de distress más estable en audiencias donde los comparecientes hablan de forma continua. Este comportamiento se documenta como característica metodológica del análisis facial en contextos forenses orales, no como deficiencia de la medición.</w:t>
      </w:r>
    </w:p>
    <w:p>
      <w:pPr>
        <w:spacing w:after="200" w:line="360" w:lineRule="auto"/>
        <w:jc w:val="both"/>
      </w:pPr>
      <w:r>
        <w:rPr>
          <w:rFonts w:ascii="Times New Roman" w:cs="Times New Roman" w:eastAsia="Times New Roman" w:hAnsi="Times New Roman"/>
          <w:b/>
          <w:sz w:val="24"/>
          <w:szCs w:val="24"/>
        </w:rPr>
        <w:t xml:space="preserve">Normalización comparativa. </w:t>
      </w:r>
      <w:r>
        <w:rPr>
          <w:rFonts w:ascii="Times New Roman" w:cs="Times New Roman" w:eastAsia="Times New Roman" w:hAnsi="Times New Roman"/>
          <w:sz w:val="24"/>
          <w:szCs w:val="24"/>
        </w:rPr>
        <w:t xml:space="preserve">El canal facial se normaliza mediante z-score sobre la distribución del corpus (media μ=0.1024 y desviación estándar σ=0.0369, congeladas como constantes de calibración), mapeado al rango [0,1]. Esta elección responde a la naturaleza comparativa de los Action Units: conforme a Barrett et al. (2019), la intensidad absoluta de las configuraciones faciales no es directamente interpretable, por lo que la expresión facial se evalúa de forma relativa entre individuos. La normalización z-score preserva el poder discriminativo del canal en todo el rango sin saturar artificialmente a ningún compareciente, y la calibración fija asegura reproducibilidad: la incorporación de comparecientes adicionales no recalcula la escala.</w:t>
      </w:r>
    </w:p>
    <w:p>
      <w:pPr>
        <w:spacing w:after="200" w:line="360" w:lineRule="auto"/>
        <w:jc w:val="both"/>
      </w:pPr>
      <w:r>
        <w:rPr>
          <w:rFonts w:ascii="Times New Roman" w:cs="Times New Roman" w:eastAsia="Times New Roman" w:hAnsi="Times New Roman"/>
          <w:b/>
          <w:sz w:val="24"/>
          <w:szCs w:val="24"/>
        </w:rPr>
        <w:t xml:space="preserve">Nota epistemológica. </w:t>
      </w:r>
      <w:r>
        <w:rPr>
          <w:rFonts w:ascii="Times New Roman" w:cs="Times New Roman" w:eastAsia="Times New Roman" w:hAnsi="Times New Roman"/>
          <w:sz w:val="24"/>
          <w:szCs w:val="24"/>
        </w:rPr>
        <w:t xml:space="preserve">Los resultados de la Capa 3 deben leerse con una cautela fundamental. Conforme a Barrett et al. (2019), las configuraciones faciales no decodifican estados emocionales internos de manera universal; el ICM facial no mide sinceridad ni autenticidad psicológica individual. Mide congruencia entre señales comunicativas multimodales a nivel del compareciente —una caracterización comparativa, no una evaluación de personas. Adicionalmente, MediaPipe FaceLandmarker no ha sido auditado sobre rostros mestizos, afrocolombianos o indígenas (Buolamwini y Gebru, 2018; Camara et al., 2024), lo que constituye una limitación de transferibilidad explícita.</w:t>
      </w:r>
    </w:p>
    <w:p>
      <w:pPr>
        <w:pStyle w:val="Heading2"/>
        <w:spacing w:before="240" w:after="120"/>
      </w:pPr>
      <w:r>
        <w:rPr>
          <w:rFonts w:ascii="Times New Roman" w:cs="Times New Roman" w:eastAsia="Times New Roman" w:hAnsi="Times New Roman"/>
          <w:b/>
          <w:sz w:val="26"/>
          <w:szCs w:val="26"/>
        </w:rPr>
        <w:t xml:space="preserve">5.10 Capa 3 — ICM tri-canal por compareciente</w:t>
      </w:r>
    </w:p>
    <w:p>
      <w:pPr>
        <w:spacing w:after="200" w:line="360" w:lineRule="auto"/>
        <w:jc w:val="both"/>
      </w:pPr>
      <w:r>
        <w:rPr>
          <w:rFonts w:ascii="Times New Roman" w:cs="Times New Roman" w:eastAsia="Times New Roman" w:hAnsi="Times New Roman"/>
          <w:b/>
          <w:sz w:val="24"/>
          <w:szCs w:val="24"/>
        </w:rPr>
        <w:t xml:space="preserve">Cómputo individual. </w:t>
      </w:r>
      <w:r>
        <w:rPr>
          <w:rFonts w:ascii="Times New Roman" w:cs="Times New Roman" w:eastAsia="Times New Roman" w:hAnsi="Times New Roman"/>
          <w:sz w:val="24"/>
          <w:szCs w:val="24"/>
        </w:rPr>
        <w:t xml:space="preserve">El Índice de Congruencia Multimodal se calcula para cada compareciente individualmente, integrando los tres canales con pesos 0.40 facial / 0.40 vocal / 0.20 verbal. El canal facial se normaliza por z-score comparativo; el vocal mediante escala fija anclada en valores de referencia de la literatura (shimmer, variabilidad de F0 y HNR invertido); y el verbal como proporción del discurso reparador (REP, y₁₀). Cuando un canal carece de cobertura suficiente, el índice se renormaliza sobre los canales disponibles. Cada compareciente recibe una marca de robustez —sólido o mínimo— según la suficiencia de evidencia por canal: se exigen al menos 100 tokens para el canal verbal, 10 ventanas para el vocal y 25 frames para el facial. De los 47 comparecientes con cobertura suficiente para el ICM, 38 se clasifican como sólidos y 9 como mínimos.</w:t>
      </w:r>
    </w:p>
    <w:tbl>
      <w:tblPr>
        <w:tblW w:w="9650" w:type="dxa"/>
        <w:tblBorders>
          <w:top w:val="single" w:sz="4" w:color="BBBBBB"/>
          <w:left w:val="single" w:sz="4" w:color="BBBBBB"/>
          <w:bottom w:val="single" w:sz="4" w:color="BBBBBB"/>
          <w:right w:val="single" w:sz="4" w:color="BBBBBB"/>
          <w:insideH w:val="single" w:sz="4" w:color="BBBBBB"/>
          <w:insideV w:val="single" w:sz="4" w:color="BBBBBB"/>
        </w:tblBorders>
        <w:tblLook w:val="04A0"/>
      </w:tblPr>
      <w:tblGrid>
        <w:gridCol w:w="1300"/>
        <w:gridCol w:w="2900"/>
        <w:gridCol w:w="1000"/>
        <w:gridCol w:w="1000"/>
        <w:gridCol w:w="1100"/>
        <w:gridCol w:w="1150"/>
        <w:gridCol w:w="1200"/>
      </w:tblGrid>
      <w:tr>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left"/>
            </w:pPr>
            <w:r>
              <w:rPr>
                <w:rFonts w:ascii="Times New Roman" w:cs="Times New Roman" w:eastAsia="Times New Roman" w:hAnsi="Times New Roman"/>
                <w:b/>
                <w:sz w:val="16"/>
                <w:szCs w:val="16"/>
              </w:rPr>
              <w:t xml:space="preserve">Subcaso</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left"/>
            </w:pPr>
            <w:r>
              <w:rPr>
                <w:rFonts w:ascii="Times New Roman" w:cs="Times New Roman" w:eastAsia="Times New Roman" w:hAnsi="Times New Roman"/>
                <w:b/>
                <w:sz w:val="16"/>
                <w:szCs w:val="16"/>
              </w:rPr>
              <w:t xml:space="preserve">Compareciente</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center"/>
            </w:pPr>
            <w:r>
              <w:rPr>
                <w:rFonts w:ascii="Times New Roman" w:cs="Times New Roman" w:eastAsia="Times New Roman" w:hAnsi="Times New Roman"/>
                <w:b/>
                <w:sz w:val="16"/>
                <w:szCs w:val="16"/>
              </w:rPr>
              <w:t xml:space="preserve">Facial</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center"/>
            </w:pPr>
            <w:r>
              <w:rPr>
                <w:rFonts w:ascii="Times New Roman" w:cs="Times New Roman" w:eastAsia="Times New Roman" w:hAnsi="Times New Roman"/>
                <w:b/>
                <w:sz w:val="16"/>
                <w:szCs w:val="16"/>
              </w:rPr>
              <w:t xml:space="preserve">Vocal</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center"/>
            </w:pPr>
            <w:r>
              <w:rPr>
                <w:rFonts w:ascii="Times New Roman" w:cs="Times New Roman" w:eastAsia="Times New Roman" w:hAnsi="Times New Roman"/>
                <w:b/>
                <w:sz w:val="16"/>
                <w:szCs w:val="16"/>
              </w:rPr>
              <w:t xml:space="preserve">Verbal
(REP)</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center"/>
            </w:pPr>
            <w:r>
              <w:rPr>
                <w:rFonts w:ascii="Times New Roman" w:cs="Times New Roman" w:eastAsia="Times New Roman" w:hAnsi="Times New Roman"/>
                <w:b/>
                <w:sz w:val="16"/>
                <w:szCs w:val="16"/>
              </w:rPr>
              <w:t xml:space="preserve">ICM
tri-canal</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center"/>
            </w:pPr>
            <w:r>
              <w:rPr>
                <w:rFonts w:ascii="Times New Roman" w:cs="Times New Roman" w:eastAsia="Times New Roman" w:hAnsi="Times New Roman"/>
                <w:b/>
                <w:sz w:val="16"/>
                <w:szCs w:val="16"/>
              </w:rPr>
              <w:t xml:space="preserve">Robustez</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Catatumbo</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Juan Carlos Chaparro Chaparro</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0.328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0.484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0.062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0.337</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Catatumbo</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Ruben Dario Castro Gomez</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0.202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0.346</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0.611</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0.342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Catatumbo</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Santiago Herrera Fajardo</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0.280</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0.491</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0.228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0.354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Casanare</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Henry Torres Escalante</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0.346</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0.624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0.054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0.399</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Costa Caribe</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Juan Carlos Soto Sepulveda</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0.322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0.465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0.149</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0.345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left"/>
            </w:pPr>
            <w:r>
              <w:rPr>
                <w:rFonts w:ascii="Times New Roman" w:cs="Times New Roman" w:eastAsia="Times New Roman" w:hAnsi="Times New Roman"/>
                <w:sz w:val="16"/>
                <w:szCs w:val="16"/>
              </w:rPr>
              <w:t xml:space="preserve">Costa Caribe</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left"/>
            </w:pPr>
            <w:r>
              <w:rPr>
                <w:rFonts w:ascii="Times New Roman" w:cs="Times New Roman" w:eastAsia="Times New Roman" w:hAnsi="Times New Roman"/>
                <w:sz w:val="16"/>
                <w:szCs w:val="16"/>
              </w:rPr>
              <w:t xml:space="preserve">Heber Hernan Gomez Naranjo</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0.543</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0.405</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0.062</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b/>
                <w:sz w:val="16"/>
                <w:szCs w:val="16"/>
              </w:rPr>
              <w:t xml:space="preserve">0.392</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mínimo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Costa Caribe</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Jose de Jesus Rueda Quintero</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0.495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0.469</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0.053</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0.396</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Costa Caribe</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Manuel Valentin Padilla Espitia</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0.422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0.518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0.231</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0.422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Costa Caribe</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Yeris Andres Gomez Coronel</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0.425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0.541</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0.250</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0.436</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Dabeiba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Yair Leandro Rodríguez</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0.122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0.458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0.050</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0.242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Dabeiba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Edie Pinzón Turcios</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0.185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0.543</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0.096</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0.311</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Dabeiba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Jaime Coral Trujillo</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0.424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0.092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0.314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left"/>
            </w:pPr>
            <w:r>
              <w:rPr>
                <w:rFonts w:ascii="Times New Roman" w:cs="Times New Roman" w:eastAsia="Times New Roman" w:hAnsi="Times New Roman"/>
                <w:sz w:val="16"/>
                <w:szCs w:val="16"/>
              </w:rPr>
              <w:t xml:space="preserve">Dabeiba</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left"/>
            </w:pPr>
            <w:r>
              <w:rPr>
                <w:rFonts w:ascii="Times New Roman" w:cs="Times New Roman" w:eastAsia="Times New Roman" w:hAnsi="Times New Roman"/>
                <w:sz w:val="16"/>
                <w:szCs w:val="16"/>
              </w:rPr>
              <w:t xml:space="preserve">Carlos Andrés Caravalli</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0.382</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0.468</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0.000</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b/>
                <w:sz w:val="16"/>
                <w:szCs w:val="16"/>
              </w:rPr>
              <w:t xml:space="preserve">0.340</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mínimo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Dabeiba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William Andrés Capera</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0.328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0.519</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0.097</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0.358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Dabeiba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Efraín Enrique Prada Correa</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0.347</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0.512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0.124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0.368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Dabeiba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Hermes Mauricio Alvarado</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0.445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0.465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0.035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0.371</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Dabeiba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Ricardo Manuel Buelvas Lozano</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0.502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0.388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0.094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0.375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left"/>
            </w:pPr>
            <w:r>
              <w:rPr>
                <w:rFonts w:ascii="Times New Roman" w:cs="Times New Roman" w:eastAsia="Times New Roman" w:hAnsi="Times New Roman"/>
                <w:sz w:val="16"/>
                <w:szCs w:val="16"/>
              </w:rPr>
              <w:t xml:space="preserve">Dabeiba</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left"/>
            </w:pPr>
            <w:r>
              <w:rPr>
                <w:rFonts w:ascii="Times New Roman" w:cs="Times New Roman" w:eastAsia="Times New Roman" w:hAnsi="Times New Roman"/>
                <w:sz w:val="16"/>
                <w:szCs w:val="16"/>
              </w:rPr>
              <w:t xml:space="preserve">Alfonso Romero Buitrago</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0.565</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0.000</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b/>
                <w:sz w:val="16"/>
                <w:szCs w:val="16"/>
              </w:rPr>
              <w:t xml:space="preserve">0.377</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mínimo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Dabeiba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Fidel Iván Ochoa Blanco</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0.563</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0.380</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0.095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0.396</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left"/>
            </w:pPr>
            <w:r>
              <w:rPr>
                <w:rFonts w:ascii="Times New Roman" w:cs="Times New Roman" w:eastAsia="Times New Roman" w:hAnsi="Times New Roman"/>
                <w:sz w:val="16"/>
                <w:szCs w:val="16"/>
              </w:rPr>
              <w:t xml:space="preserve">Dabeiba</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left"/>
            </w:pPr>
            <w:r>
              <w:rPr>
                <w:rFonts w:ascii="Times New Roman" w:cs="Times New Roman" w:eastAsia="Times New Roman" w:hAnsi="Times New Roman"/>
                <w:sz w:val="16"/>
                <w:szCs w:val="16"/>
              </w:rPr>
              <w:t xml:space="preserve">Luis Fidel Arenas Rodríguez</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0.732</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0.000</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b/>
                <w:sz w:val="16"/>
                <w:szCs w:val="16"/>
              </w:rPr>
              <w:t xml:space="preserve">0.488</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mínimo</w:t>
            </w:r>
          </w:p>
        </w:tc>
      </w:tr>
      <w:tr>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left"/>
            </w:pPr>
            <w:r>
              <w:rPr>
                <w:rFonts w:ascii="Times New Roman" w:cs="Times New Roman" w:eastAsia="Times New Roman" w:hAnsi="Times New Roman"/>
                <w:sz w:val="16"/>
                <w:szCs w:val="16"/>
              </w:rPr>
              <w:t xml:space="preserve">Dabeiba</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left"/>
            </w:pPr>
            <w:r>
              <w:rPr>
                <w:rFonts w:ascii="Times New Roman" w:cs="Times New Roman" w:eastAsia="Times New Roman" w:hAnsi="Times New Roman"/>
                <w:sz w:val="16"/>
                <w:szCs w:val="16"/>
              </w:rPr>
              <w:t xml:space="preserve">Levis de Jesús Contreras</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0.765</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0.454</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0.054</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b/>
                <w:sz w:val="16"/>
                <w:szCs w:val="16"/>
              </w:rPr>
              <w:t xml:space="preserve">0.498</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mínimo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Aris Ramirez Campos</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0.064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0.464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0.158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0.243</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Angel Fernando Carvajal Rojas</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0.232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0.436</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0.000</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0.267</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Jair Fernandez</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0.053</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0.559</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0.143</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0.273</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Luis Carlos Aguilera Quintero</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0.042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0.427</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0.564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0.300</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Jose Albeiro Bustos Aguilar</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0.365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0.357</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0.208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0.330</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Jose Fabio Guzman Muñoz</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0.441</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0.414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0.000</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0.342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Fabian Fermin Durango de la Cruz</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0.325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0.488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0.104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0.346</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Jose Yati Anacona Bueno</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0.338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0.530</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0.000</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0.347</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Francisco Javier Castañeda Alfaro</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0.157</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0.457</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0.554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0.356</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Jose David Restrepo Solarte</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0.436</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0.485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0.000</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0.368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Luis Carlos Oyola Tapia</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0.348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0.515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0.132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0.372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Wilder Samboni Chanchi</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0.403</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0.499</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0.108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0.383</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left"/>
            </w:pPr>
            <w:r>
              <w:rPr>
                <w:rFonts w:ascii="Times New Roman" w:cs="Times New Roman" w:eastAsia="Times New Roman" w:hAnsi="Times New Roman"/>
                <w:sz w:val="16"/>
                <w:szCs w:val="16"/>
              </w:rPr>
              <w:t xml:space="preserve">Jose Gañan Tapasco</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0.340</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0.542</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0.227</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b/>
                <w:sz w:val="16"/>
                <w:szCs w:val="16"/>
              </w:rPr>
              <w:t xml:space="preserve">0.398</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mínimo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Divar Juspian Jimenez</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0.451</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0.452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0.205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0.402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Jhon Jairo Buitrago Lopez</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0.406</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0.581</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0.038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0.402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left"/>
            </w:pPr>
            <w:r>
              <w:rPr>
                <w:rFonts w:ascii="Times New Roman" w:cs="Times New Roman" w:eastAsia="Times New Roman" w:hAnsi="Times New Roman"/>
                <w:sz w:val="16"/>
                <w:szCs w:val="16"/>
              </w:rPr>
              <w:t xml:space="preserve">Harbey Sanchez Gomez</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0.520</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0.363</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0.412</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b/>
                <w:sz w:val="16"/>
                <w:szCs w:val="16"/>
              </w:rPr>
              <w:t xml:space="preserve">0.436</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mínimo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Ricardo Andres Lopez Garcia</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0.551</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0.541</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0.119</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0.461</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left"/>
            </w:pPr>
            <w:r>
              <w:rPr>
                <w:rFonts w:ascii="Times New Roman" w:cs="Times New Roman" w:eastAsia="Times New Roman" w:hAnsi="Times New Roman"/>
                <w:sz w:val="16"/>
                <w:szCs w:val="16"/>
              </w:rPr>
              <w:t xml:space="preserve">Annuar Herrera Osorio</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0.484</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0.562</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0.278</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b/>
                <w:sz w:val="16"/>
                <w:szCs w:val="16"/>
              </w:rPr>
              <w:t xml:space="preserve">0.474</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mínimo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Jair Arias Sanchez</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0.435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0.419</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0.665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0.475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Fernando Riveros Sarmiento</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0.421</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0.421</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0.769</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0.491</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Faiver Coronado Camero</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0.550</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0.601</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0.224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0.505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Jose Roldan Lopez Ceron</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0.711</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0.478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0.179</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0.511</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Julian Andres Calderon Motta</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0.727</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0.525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0.096</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0.520</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Cesar Augusto Vasquez Ordoñez</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0.704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0.588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0.064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0.530</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Fabio Nelson Rodriguez Barrera</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0.749</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0.513</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0.207</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0.546</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left"/>
            </w:pPr>
            <w:r>
              <w:rPr>
                <w:rFonts w:ascii="Times New Roman" w:cs="Times New Roman" w:eastAsia="Times New Roman" w:hAnsi="Times New Roman"/>
                <w:sz w:val="16"/>
                <w:szCs w:val="16"/>
              </w:rPr>
              <w:t xml:space="preserve">Hernando Mendez Rodriguez</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0.774</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0.495</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0.357</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b/>
                <w:sz w:val="16"/>
                <w:szCs w:val="16"/>
              </w:rPr>
              <w:t xml:space="preserve">0.579</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mínimo</w:t>
            </w:r>
          </w:p>
        </w:tc>
      </w:tr>
    </w:tbl>
    <w:p>
      <w:pPr>
        <w:spacing w:after="160" w:line="360" w:lineRule="auto"/>
        <w:jc w:val="both"/>
      </w:pPr>
      <w:r>
        <w:rPr>
          <w:rFonts w:ascii="Times New Roman" w:cs="Times New Roman" w:eastAsia="Times New Roman" w:hAnsi="Times New Roman"/>
          <w:i/>
          <w:sz w:val="20"/>
          <w:szCs w:val="20"/>
        </w:rPr>
        <w:t xml:space="preserve">Tabla 5.10. ICM tri-canal por compareciente (47 comparecientes, Corpus C). Facial normalizado por z-score comparativo; vocal por escala fija de literatura; verbal como proporción del discurso reparador. ICM = 0.40·facial + 0.40·vocal + 0.20·verbal, renormalizado por cobertura. Filas ámbar: robustez mínima (evidencia escasa en al menos un canal). Ordenado por subcaso y por ICM ascendente.</w:t>
      </w:r>
    </w:p>
    <w:p>
      <w:pPr>
        <w:pStyle w:val="Heading2"/>
        <w:spacing w:before="240" w:after="120"/>
      </w:pPr>
      <w:r>
        <w:rPr>
          <w:rFonts w:ascii="Times New Roman" w:cs="Times New Roman" w:eastAsia="Times New Roman" w:hAnsi="Times New Roman"/>
          <w:b/>
          <w:sz w:val="26"/>
          <w:szCs w:val="26"/>
        </w:rPr>
        <w:t xml:space="preserve">5.11 Capa 3 — Síntesis interpretativa por subcaso</w:t>
      </w:r>
    </w:p>
    <w:p>
      <w:pPr>
        <w:spacing w:after="200" w:line="360" w:lineRule="auto"/>
        <w:jc w:val="both"/>
      </w:pPr>
      <w:r>
        <w:rPr>
          <w:rFonts w:ascii="Times New Roman" w:cs="Times New Roman" w:eastAsia="Times New Roman" w:hAnsi="Times New Roman"/>
          <w:b/>
          <w:sz w:val="24"/>
          <w:szCs w:val="24"/>
        </w:rPr>
        <w:t xml:space="preserve">Del subcaso al individuo. </w:t>
      </w:r>
      <w:r>
        <w:rPr>
          <w:rFonts w:ascii="Times New Roman" w:cs="Times New Roman" w:eastAsia="Times New Roman" w:hAnsi="Times New Roman"/>
          <w:sz w:val="24"/>
          <w:szCs w:val="24"/>
        </w:rPr>
        <w:t xml:space="preserve">El nivel individual revela un patrón que el análisis agregado por subcaso no podía mostrar: la congruencia multimodal es un atributo del compareciente, no del subcaso. La dispersión intra-subcaso es sustancial y, en varios casos, supera las diferencias entre subcasos. La siguiente tabla resume la distribución del ICM por subcaso; las medias deben leerse como descriptores de tendencia central, no como valores que caractericen uniformemente a todos los comparecientes del subcaso.</w:t>
      </w:r>
    </w:p>
    <w:tbl>
      <w:tblPr>
        <w:tblW w:w="7900" w:type="dxa"/>
        <w:tblBorders>
          <w:top w:val="single" w:sz="4" w:color="BBBBBB"/>
          <w:left w:val="single" w:sz="4" w:color="BBBBBB"/>
          <w:bottom w:val="single" w:sz="4" w:color="BBBBBB"/>
          <w:right w:val="single" w:sz="4" w:color="BBBBBB"/>
          <w:insideH w:val="single" w:sz="4" w:color="BBBBBB"/>
          <w:insideV w:val="single" w:sz="4" w:color="BBBBBB"/>
        </w:tblBorders>
        <w:tblLook w:val="04A0"/>
      </w:tblPr>
      <w:tblGrid>
        <w:gridCol w:w="1700"/>
        <w:gridCol w:w="800"/>
        <w:gridCol w:w="1500"/>
        <w:gridCol w:w="1300"/>
        <w:gridCol w:w="1300"/>
        <w:gridCol w:w="1300"/>
      </w:tblGrid>
      <w:tr>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left"/>
            </w:pPr>
            <w:r>
              <w:rPr>
                <w:rFonts w:ascii="Times New Roman" w:cs="Times New Roman" w:eastAsia="Times New Roman" w:hAnsi="Times New Roman"/>
                <w:b/>
                <w:sz w:val="18"/>
                <w:szCs w:val="18"/>
              </w:rPr>
              <w:t xml:space="preserve">Subcaso</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center"/>
            </w:pPr>
            <w:r>
              <w:rPr>
                <w:rFonts w:ascii="Times New Roman" w:cs="Times New Roman" w:eastAsia="Times New Roman" w:hAnsi="Times New Roman"/>
                <w:b/>
                <w:sz w:val="18"/>
                <w:szCs w:val="18"/>
              </w:rPr>
              <w:t xml:space="preserve">n</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center"/>
            </w:pPr>
            <w:r>
              <w:rPr>
                <w:rFonts w:ascii="Times New Roman" w:cs="Times New Roman" w:eastAsia="Times New Roman" w:hAnsi="Times New Roman"/>
                <w:b/>
                <w:sz w:val="18"/>
                <w:szCs w:val="18"/>
              </w:rPr>
              <w:t xml:space="preserve">ICM medio</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center"/>
            </w:pPr>
            <w:r>
              <w:rPr>
                <w:rFonts w:ascii="Times New Roman" w:cs="Times New Roman" w:eastAsia="Times New Roman" w:hAnsi="Times New Roman"/>
                <w:b/>
                <w:sz w:val="18"/>
                <w:szCs w:val="18"/>
              </w:rPr>
              <w:t xml:space="preserve">mín</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center"/>
            </w:pPr>
            <w:r>
              <w:rPr>
                <w:rFonts w:ascii="Times New Roman" w:cs="Times New Roman" w:eastAsia="Times New Roman" w:hAnsi="Times New Roman"/>
                <w:b/>
                <w:sz w:val="18"/>
                <w:szCs w:val="18"/>
              </w:rPr>
              <w:t xml:space="preserve">máx</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center"/>
            </w:pPr>
            <w:r>
              <w:rPr>
                <w:rFonts w:ascii="Times New Roman" w:cs="Times New Roman" w:eastAsia="Times New Roman" w:hAnsi="Times New Roman"/>
                <w:b/>
                <w:sz w:val="18"/>
                <w:szCs w:val="18"/>
              </w:rPr>
              <w:t xml:space="preserve">rango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8"/>
                <w:szCs w:val="18"/>
              </w:rPr>
              <w:t xml:space="preserve">Catatumbo</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3</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8"/>
                <w:szCs w:val="18"/>
              </w:rPr>
              <w:t xml:space="preserve">0.344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0.337</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0.354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0.017</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8"/>
                <w:szCs w:val="18"/>
              </w:rPr>
              <w:t xml:space="preserve">Casanare</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1</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8"/>
                <w:szCs w:val="18"/>
              </w:rPr>
              <w:t xml:space="preserve">0.399</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0.399</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0.399</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0.000</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8"/>
                <w:szCs w:val="18"/>
              </w:rPr>
              <w:t xml:space="preserve">Costa Caribe</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8"/>
                <w:szCs w:val="18"/>
              </w:rPr>
              <w:t xml:space="preserve">0.398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0.345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0.436</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0.091</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8"/>
                <w:szCs w:val="18"/>
              </w:rPr>
              <w:t xml:space="preserve">Dabeiba</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12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8"/>
                <w:szCs w:val="18"/>
              </w:rPr>
              <w:t xml:space="preserve">0.370</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0.242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0.498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0.256</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8"/>
                <w:szCs w:val="18"/>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26</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8"/>
                <w:szCs w:val="18"/>
              </w:rPr>
              <w:t xml:space="preserve">0.410</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0.243</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0.579</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0.336</w:t>
            </w:r>
          </w:p>
        </w:tc>
      </w:tr>
    </w:tbl>
    <w:p>
      <w:pPr>
        <w:spacing w:after="160" w:line="360" w:lineRule="auto"/>
        <w:jc w:val="both"/>
      </w:pPr>
      <w:r>
        <w:rPr>
          <w:rFonts w:ascii="Times New Roman" w:cs="Times New Roman" w:eastAsia="Times New Roman" w:hAnsi="Times New Roman"/>
          <w:i/>
          <w:sz w:val="20"/>
          <w:szCs w:val="20"/>
        </w:rPr>
        <w:t xml:space="preserve">Tabla 5.11. Distribución del ICM tri-canal por subcaso. Casanare tiene un único compareciente identificado (General Torres Escalante). La amplitud del rango en Huila (0.336) y Dabeiba (0.256) evidencia que la congruencia multimodal varía más entre individuos de un mismo subcaso que entre las medias de los subcasos.</w:t>
      </w:r>
    </w:p>
    <w:p>
      <w:pPr>
        <w:spacing w:after="200" w:line="360" w:lineRule="auto"/>
        <w:jc w:val="both"/>
      </w:pPr>
      <w:r>
        <w:rPr>
          <w:rFonts w:ascii="Times New Roman" w:cs="Times New Roman" w:eastAsia="Times New Roman" w:hAnsi="Times New Roman"/>
          <w:b/>
          <w:sz w:val="24"/>
          <w:szCs w:val="24"/>
        </w:rPr>
        <w:t xml:space="preserve">Casanare (Torres Escalante). </w:t>
      </w:r>
      <w:r>
        <w:rPr>
          <w:rFonts w:ascii="Times New Roman" w:cs="Times New Roman" w:eastAsia="Times New Roman" w:hAnsi="Times New Roman"/>
          <w:sz w:val="24"/>
          <w:szCs w:val="24"/>
        </w:rPr>
        <w:t xml:space="preserve">Torres Escalante es el único compareciente identificado del subcaso y presenta un perfil de divergencia entre canales que constituye el hallazgo más interpretativo de la Capa 3. Su canal vocal es el más alto del corpus (0.624 — alta irregularidad prosódica, con el shimmer más elevado), mientras su canal facial es comparativamente bajo (0.346). La divergencia entre ambos canales no verbales (Δ=0.278) es la mayor del corpus: la voz comunica carga emocional mientras el rostro mantiene una expresión contenida, con la sonrisa (AU12) más alta y el ceño (AU4) más bajo entre los comparecientes con buena detección. Antes que leerse como «el ICM más bajo», el patrón se caracteriza con mayor precisión como la máxima divergencia vocal-facial del corpus —una incongruencia entre canales no verbales que ningún análisis monomodal podría capturar.</w:t>
      </w:r>
    </w:p>
    <w:p>
      <w:pPr>
        <w:spacing w:after="200" w:line="360" w:lineRule="auto"/>
        <w:jc w:val="both"/>
      </w:pPr>
      <w:r>
        <w:rPr>
          <w:rFonts w:ascii="Times New Roman" w:cs="Times New Roman" w:eastAsia="Times New Roman" w:hAnsi="Times New Roman"/>
          <w:b/>
          <w:sz w:val="24"/>
          <w:szCs w:val="24"/>
        </w:rPr>
        <w:t xml:space="preserve">Catatumbo (Chaparro, Castro, Herrera). </w:t>
      </w:r>
      <w:r>
        <w:rPr>
          <w:rFonts w:ascii="Times New Roman" w:cs="Times New Roman" w:eastAsia="Times New Roman" w:hAnsi="Times New Roman"/>
          <w:sz w:val="24"/>
          <w:szCs w:val="24"/>
        </w:rPr>
        <w:t xml:space="preserve">Los tres comparecientes de Catatumbo presentan ICM tri-canal muy homogéneo (0.337–0.354), el subcaso de menor dispersión. El Capitán Chaparro (ICM=0.337) ejemplifica la disociación léxico-semántica analizada en §5.13: su discurso es gramaticalmente directo pero semánticamente el más distante del lenguaje de las víctimas. Castro Gómez destaca por el mayor canal verbal del subcaso (REP=0.611). Catatumbo, primera audiencia de reconocimiento del Macrocaso 003 (abril 2022), presenta además el AU15 más alto del corpus, coherente con la intensidad emocional singular de ese primer encuentro público con las víctimas.</w:t>
      </w:r>
    </w:p>
    <w:p>
      <w:pPr>
        <w:spacing w:after="200" w:line="360" w:lineRule="auto"/>
        <w:jc w:val="both"/>
      </w:pPr>
      <w:r>
        <w:rPr>
          <w:rFonts w:ascii="Times New Roman" w:cs="Times New Roman" w:eastAsia="Times New Roman" w:hAnsi="Times New Roman"/>
          <w:b/>
          <w:sz w:val="24"/>
          <w:szCs w:val="24"/>
        </w:rPr>
        <w:t xml:space="preserve">Dabeiba (12 comparecientes). </w:t>
      </w:r>
      <w:r>
        <w:rPr>
          <w:rFonts w:ascii="Times New Roman" w:cs="Times New Roman" w:eastAsia="Times New Roman" w:hAnsi="Times New Roman"/>
          <w:sz w:val="24"/>
          <w:szCs w:val="24"/>
        </w:rPr>
        <w:t xml:space="preserve">Dabeiba presenta una de las mayores dispersiones del corpus (ICM de 0.242 a 0.498). Varios comparecientes con alto distress facial —Contreras (0.765) y Arenas (0.732)— elevan el extremo superior, mientras otros con expresión facial contenida ocupan el inferior. Esta heterogeneidad matiza la lectura previa que atribuía a Dabeiba una congruencia uniformemente alta: la materialidad del acto de reconocimiento en este subcaso —los comparecientes guiaron a los investigadores a 49 fosas del cementerio Las Mercedes— coexiste con perfiles multimodales individuales diversos. Cuatro comparecientes del subcaso se clasifican como robustez mínima por evidencia escasa en algún canal.</w:t>
      </w:r>
    </w:p>
    <w:p>
      <w:pPr>
        <w:spacing w:after="200" w:line="360" w:lineRule="auto"/>
        <w:jc w:val="both"/>
      </w:pPr>
      <w:r>
        <w:rPr>
          <w:rFonts w:ascii="Times New Roman" w:cs="Times New Roman" w:eastAsia="Times New Roman" w:hAnsi="Times New Roman"/>
          <w:b/>
          <w:sz w:val="24"/>
          <w:szCs w:val="24"/>
        </w:rPr>
        <w:t xml:space="preserve">Huila (26 comparecientes). </w:t>
      </w:r>
      <w:r>
        <w:rPr>
          <w:rFonts w:ascii="Times New Roman" w:cs="Times New Roman" w:eastAsia="Times New Roman" w:hAnsi="Times New Roman"/>
          <w:sz w:val="24"/>
          <w:szCs w:val="24"/>
        </w:rPr>
        <w:t xml:space="preserve">Huila es el subcaso más numeroso (26 comparecientes) y el de mayor dispersión (ICM de 0.243 a 0.579), que contiene tanto el valor más alto del corpus (Hernando Méndez, 0.579) como uno de los más bajos (Aris Ramírez, 0.243). Es también el subcaso semánticamente más cercano al lenguaje de las víctimas a nivel agregado. Destacan comparecientes con alto canal verbal reparador —Riveros Sarmiento (REP=0.769), Arias Sánchez (0.665), Aguilera Quintero (0.564)— cuyo ICM, sin embargo, queda modulado por sus canales no verbales. La amplitud del rango confirma que en Huila la congruencia multimodal es estrictamente individual y no se deja resumir por el subcaso.</w:t>
      </w:r>
    </w:p>
    <w:p>
      <w:pPr>
        <w:spacing w:after="200" w:line="360" w:lineRule="auto"/>
        <w:jc w:val="both"/>
      </w:pPr>
      <w:r>
        <w:rPr>
          <w:rFonts w:ascii="Times New Roman" w:cs="Times New Roman" w:eastAsia="Times New Roman" w:hAnsi="Times New Roman"/>
          <w:b/>
          <w:sz w:val="24"/>
          <w:szCs w:val="24"/>
        </w:rPr>
        <w:t xml:space="preserve">Costa Caribe (5 comparecientes). </w:t>
      </w:r>
      <w:r>
        <w:rPr>
          <w:rFonts w:ascii="Times New Roman" w:cs="Times New Roman" w:eastAsia="Times New Roman" w:hAnsi="Times New Roman"/>
          <w:sz w:val="24"/>
          <w:szCs w:val="24"/>
        </w:rPr>
        <w:t xml:space="preserve">Los cinco comparecientes de Costa Caribe (Batallón La Popa) presentan ICM entre 0.345 y 0.436, con cobertura facial y vocal completa tras la reextracción homogénea del canal facial (5.396 frames). Gómez Naranjo se marca como robustez mínima por evidencia facial escasa. La incorporación plena de Costa Caribe completa el Corpus C en los cinco subcasos para el análisis multimodal.</w:t>
      </w:r>
    </w:p>
    <w:p>
      <w:pPr>
        <w:pStyle w:val="Heading2"/>
        <w:spacing w:before="240" w:after="120"/>
      </w:pPr>
      <w:r>
        <w:rPr>
          <w:rFonts w:ascii="Times New Roman" w:cs="Times New Roman" w:eastAsia="Times New Roman" w:hAnsi="Times New Roman"/>
          <w:b/>
          <w:sz w:val="26"/>
          <w:szCs w:val="26"/>
        </w:rPr>
        <w:t xml:space="preserve">5.12 Capa 3 — Disociación de canales como patrón estructural</w:t>
      </w:r>
    </w:p>
    <w:p>
      <w:pPr>
        <w:spacing w:after="200" w:line="360" w:lineRule="auto"/>
        <w:jc w:val="both"/>
      </w:pPr>
      <w:r>
        <w:rPr>
          <w:rFonts w:ascii="Times New Roman" w:cs="Times New Roman" w:eastAsia="Times New Roman" w:hAnsi="Times New Roman"/>
          <w:b/>
          <w:sz w:val="24"/>
          <w:szCs w:val="24"/>
        </w:rPr>
        <w:t xml:space="preserve">El reconocimiento como fenómeno multidimensional. </w:t>
      </w:r>
      <w:r>
        <w:rPr>
          <w:rFonts w:ascii="Times New Roman" w:cs="Times New Roman" w:eastAsia="Times New Roman" w:hAnsi="Times New Roman"/>
          <w:sz w:val="24"/>
          <w:szCs w:val="24"/>
        </w:rPr>
        <w:t xml:space="preserve">El análisis individual confirma y profundiza el hallazgo central de la Capa 3: la disociación entre canales discursivos es el patrón estructural dominante de las audiencias de reconocimiento. En ningún compareciente los tres canales apuntan uniformemente en la misma dirección. Esta disociación adopta formas distintas: divergencia vocal-facial (paradigmáticamente Torres Escalante, Δ=0.278), disociación léxico-semántica (Chaparro, que usa el vocabulario de las víctimas en superficie pero permanece distante en el embedding profundo), o canal verbal reparador alto con canales no verbales contenidos (Aguilera, Riveros). La existencia de estos perfiles heterogéneos —imposibles de detectar con un único canal— valida metodológicamente la arquitectura tri-canal del ICM y, más ampliamente, la arquitectura multi-capa del framework CFH: un análisis monomodal habría producido conclusiones empobrecidas o erróneas sobre la naturaleza del reconocimiento en la justicia transicional.</w:t>
      </w:r>
    </w:p>
    <w:p>
      <w:pPr>
        <w:pStyle w:val="Heading2"/>
        <w:spacing w:before="240" w:after="120"/>
      </w:pPr>
      <w:r>
        <w:rPr>
          <w:rFonts w:ascii="Times New Roman" w:cs="Times New Roman" w:eastAsia="Times New Roman" w:hAnsi="Times New Roman"/>
          <w:b/>
          <w:sz w:val="26"/>
          <w:szCs w:val="26"/>
        </w:rPr>
        <w:t xml:space="preserve">5.13 Índice de Injusticia Epistémica (IEI) y comparación con el DIS Score</w:t>
      </w:r>
    </w:p>
    <w:p>
      <w:pPr>
        <w:spacing w:after="200" w:line="360" w:lineRule="auto"/>
        <w:jc w:val="both"/>
      </w:pPr>
      <w:r>
        <w:rPr>
          <w:rFonts w:ascii="Times New Roman" w:cs="Times New Roman" w:eastAsia="Times New Roman" w:hAnsi="Times New Roman"/>
          <w:b/>
          <w:sz w:val="24"/>
          <w:szCs w:val="24"/>
        </w:rPr>
        <w:t xml:space="preserve">Definición del IEI. </w:t>
      </w:r>
      <w:r>
        <w:rPr>
          <w:rFonts w:ascii="Times New Roman" w:cs="Times New Roman" w:eastAsia="Times New Roman" w:hAnsi="Times New Roman"/>
          <w:sz w:val="24"/>
          <w:szCs w:val="24"/>
        </w:rPr>
        <w:t xml:space="preserve">El Índice de Injusticia Epistémica (IEI) operacionaliza el marco de Fricker (2007) con los indicadores disponibles: distancia semántica al léxico de las víctimas (y₈ MAFAPO, peso 0.35), distancia a estándares de derechos humanos (y₉ CIDH, peso 0.20), déficit de credibilidad léxico (y₄ NV, peso 0.25) y ausencia de expansión hermenéutica (1−y₁₀ REP, peso 0.20). Mientras el DIS Score mide la injusticia discursiva en sentido gramatical y léxico, el IEI mide si el proceso dialógico de las audiencias corrige la injusticia hermenéutica de las víctimas, operacionalizada como convergencia semántica hacia su léxico.</w:t>
      </w:r>
    </w:p>
    <w:tbl>
      <w:tblPr>
        <w:tblW w:w="7500" w:type="dxa"/>
        <w:tblBorders>
          <w:top w:val="single" w:sz="4" w:color="BBBBBB"/>
          <w:left w:val="single" w:sz="4" w:color="BBBBBB"/>
          <w:bottom w:val="single" w:sz="4" w:color="BBBBBB"/>
          <w:right w:val="single" w:sz="4" w:color="BBBBBB"/>
          <w:insideH w:val="single" w:sz="4" w:color="BBBBBB"/>
          <w:insideV w:val="single" w:sz="4" w:color="BBBBBB"/>
        </w:tblBorders>
        <w:tblLook w:val="04A0"/>
      </w:tblPr>
      <w:tblGrid>
        <w:gridCol w:w="1700"/>
        <w:gridCol w:w="1300"/>
        <w:gridCol w:w="1300"/>
        <w:gridCol w:w="1700"/>
        <w:gridCol w:w="1500"/>
      </w:tblGrid>
      <w:tr>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left"/>
            </w:pPr>
            <w:r>
              <w:rPr>
                <w:rFonts w:ascii="Times New Roman" w:cs="Times New Roman" w:eastAsia="Times New Roman" w:hAnsi="Times New Roman"/>
                <w:b/>
                <w:sz w:val="18"/>
                <w:szCs w:val="18"/>
              </w:rPr>
              <w:t xml:space="preserve">Subcaso</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center"/>
            </w:pPr>
            <w:r>
              <w:rPr>
                <w:rFonts w:ascii="Times New Roman" w:cs="Times New Roman" w:eastAsia="Times New Roman" w:hAnsi="Times New Roman"/>
                <w:b/>
                <w:sz w:val="18"/>
                <w:szCs w:val="18"/>
              </w:rPr>
              <w:t xml:space="preserve">DIS</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center"/>
            </w:pPr>
            <w:r>
              <w:rPr>
                <w:rFonts w:ascii="Times New Roman" w:cs="Times New Roman" w:eastAsia="Times New Roman" w:hAnsi="Times New Roman"/>
                <w:b/>
                <w:sz w:val="18"/>
                <w:szCs w:val="18"/>
              </w:rPr>
              <w:t xml:space="preserve">IEI</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center"/>
            </w:pPr>
            <w:r>
              <w:rPr>
                <w:rFonts w:ascii="Times New Roman" w:cs="Times New Roman" w:eastAsia="Times New Roman" w:hAnsi="Times New Roman"/>
                <w:b/>
                <w:sz w:val="18"/>
                <w:szCs w:val="18"/>
              </w:rPr>
              <w:t xml:space="preserve">Δ |DIS−IEI|</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center"/>
            </w:pPr>
            <w:r>
              <w:rPr>
                <w:rFonts w:ascii="Times New Roman" w:cs="Times New Roman" w:eastAsia="Times New Roman" w:hAnsi="Times New Roman"/>
                <w:b/>
                <w:sz w:val="18"/>
                <w:szCs w:val="18"/>
              </w:rPr>
              <w:t xml:space="preserve">Patrón</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8"/>
                <w:szCs w:val="18"/>
              </w:rPr>
              <w:t xml:space="preserve">Casanare</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0.808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0.517</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0.291</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DIS&gt;IEI</w:t>
            </w:r>
          </w:p>
        </w:tc>
      </w:tr>
      <w:tr>
        <w:tc>
          <w:tcPr>
            <w:tcBorders>
              <w:top w:val="single" w:sz="4" w:color="BBBBBB"/>
              <w:left w:val="single" w:sz="4" w:color="BBBBBB"/>
              <w:bottom w:val="single" w:sz="4" w:color="BBBBBB"/>
              <w:right w:val="single" w:sz="4" w:color="BBBBBB"/>
            </w:tcBorders>
            <w:shd w:val="clear" w:fill="E2EFDA"/>
            <w:vAlign w:val="center"/>
          </w:tcPr>
          <w:p>
            <w:pPr>
              <w:spacing w:after="20" w:line="240" w:lineRule="auto"/>
              <w:jc w:val="left"/>
            </w:pPr>
            <w:r>
              <w:rPr>
                <w:rFonts w:ascii="Times New Roman" w:cs="Times New Roman" w:eastAsia="Times New Roman" w:hAnsi="Times New Roman"/>
                <w:sz w:val="18"/>
                <w:szCs w:val="18"/>
              </w:rPr>
              <w:t xml:space="preserve">Catatumbo</w:t>
            </w:r>
          </w:p>
        </w:tc>
        <w:tc>
          <w:tcPr>
            <w:tcBorders>
              <w:top w:val="single" w:sz="4" w:color="BBBBBB"/>
              <w:left w:val="single" w:sz="4" w:color="BBBBBB"/>
              <w:bottom w:val="single" w:sz="4" w:color="BBBBBB"/>
              <w:right w:val="single" w:sz="4" w:color="BBBBBB"/>
            </w:tcBorders>
            <w:shd w:val="clear" w:fill="E2EFDA"/>
            <w:vAlign w:val="center"/>
          </w:tcPr>
          <w:p>
            <w:pPr>
              <w:spacing w:after="20" w:line="240" w:lineRule="auto"/>
              <w:jc w:val="center"/>
            </w:pPr>
            <w:r>
              <w:rPr>
                <w:rFonts w:ascii="Times New Roman" w:cs="Times New Roman" w:eastAsia="Times New Roman" w:hAnsi="Times New Roman"/>
                <w:sz w:val="18"/>
                <w:szCs w:val="18"/>
              </w:rPr>
              <w:t xml:space="preserve">0.110</w:t>
            </w:r>
          </w:p>
        </w:tc>
        <w:tc>
          <w:tcPr>
            <w:tcBorders>
              <w:top w:val="single" w:sz="4" w:color="BBBBBB"/>
              <w:left w:val="single" w:sz="4" w:color="BBBBBB"/>
              <w:bottom w:val="single" w:sz="4" w:color="BBBBBB"/>
              <w:right w:val="single" w:sz="4" w:color="BBBBBB"/>
            </w:tcBorders>
            <w:shd w:val="clear" w:fill="E2EFDA"/>
            <w:vAlign w:val="center"/>
          </w:tcPr>
          <w:p>
            <w:pPr>
              <w:spacing w:after="20" w:line="240" w:lineRule="auto"/>
              <w:jc w:val="center"/>
            </w:pPr>
            <w:r>
              <w:rPr>
                <w:rFonts w:ascii="Times New Roman" w:cs="Times New Roman" w:eastAsia="Times New Roman" w:hAnsi="Times New Roman"/>
                <w:sz w:val="18"/>
                <w:szCs w:val="18"/>
              </w:rPr>
              <w:t xml:space="preserve">0.624</w:t>
            </w:r>
          </w:p>
        </w:tc>
        <w:tc>
          <w:tcPr>
            <w:tcBorders>
              <w:top w:val="single" w:sz="4" w:color="BBBBBB"/>
              <w:left w:val="single" w:sz="4" w:color="BBBBBB"/>
              <w:bottom w:val="single" w:sz="4" w:color="BBBBBB"/>
              <w:right w:val="single" w:sz="4" w:color="BBBBBB"/>
            </w:tcBorders>
            <w:shd w:val="clear" w:fill="E2EFDA"/>
            <w:vAlign w:val="center"/>
          </w:tcPr>
          <w:p>
            <w:pPr>
              <w:spacing w:after="20" w:line="240" w:lineRule="auto"/>
              <w:jc w:val="center"/>
            </w:pPr>
            <w:r>
              <w:rPr>
                <w:rFonts w:ascii="Times New Roman" w:cs="Times New Roman" w:eastAsia="Times New Roman" w:hAnsi="Times New Roman"/>
                <w:b/>
                <w:sz w:val="18"/>
                <w:szCs w:val="18"/>
              </w:rPr>
              <w:t xml:space="preserve">0.514</w:t>
            </w:r>
          </w:p>
        </w:tc>
        <w:tc>
          <w:tcPr>
            <w:tcBorders>
              <w:top w:val="single" w:sz="4" w:color="BBBBBB"/>
              <w:left w:val="single" w:sz="4" w:color="BBBBBB"/>
              <w:bottom w:val="single" w:sz="4" w:color="BBBBBB"/>
              <w:right w:val="single" w:sz="4" w:color="BBBBBB"/>
            </w:tcBorders>
            <w:shd w:val="clear" w:fill="E2EFDA"/>
            <w:vAlign w:val="center"/>
          </w:tcPr>
          <w:p>
            <w:pPr>
              <w:spacing w:after="20" w:line="240" w:lineRule="auto"/>
              <w:jc w:val="center"/>
            </w:pPr>
            <w:r>
              <w:rPr>
                <w:rFonts w:ascii="Times New Roman" w:cs="Times New Roman" w:eastAsia="Times New Roman" w:hAnsi="Times New Roman"/>
                <w:sz w:val="18"/>
                <w:szCs w:val="18"/>
              </w:rPr>
              <w:t xml:space="preserve">IEI&gt;DIS</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8"/>
                <w:szCs w:val="18"/>
              </w:rPr>
              <w:t xml:space="preserve">Dabeiba</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0.490</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0.299</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0.190</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DIS&gt;IEI</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8"/>
                <w:szCs w:val="18"/>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0.228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0.081</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0.147</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DIS&gt;IEI</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8"/>
                <w:szCs w:val="18"/>
              </w:rPr>
              <w:t xml:space="preserve">Costa Caribe</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0.464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0.231</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0.233</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DIS&gt;IEI</w:t>
            </w:r>
          </w:p>
        </w:tc>
      </w:tr>
    </w:tbl>
    <w:p>
      <w:pPr>
        <w:spacing w:after="160" w:line="360" w:lineRule="auto"/>
        <w:jc w:val="both"/>
      </w:pPr>
      <w:r>
        <w:rPr>
          <w:rFonts w:ascii="Times New Roman" w:cs="Times New Roman" w:eastAsia="Times New Roman" w:hAnsi="Times New Roman"/>
          <w:i/>
          <w:sz w:val="20"/>
          <w:szCs w:val="20"/>
        </w:rPr>
        <w:t xml:space="preserve">Tabla 5.14. DIS Score (η₁, injusticia discursiva) vs. IEI (η₂, injusticia epistémica) por subcaso, Corpus C. DIS = 0.35·y₂ + 0.35·y₄ + 0.30·(1−y₁₀). IEI = 0.35·y₈ + 0.20·y₉ + 0.25·y₄ + 0.20·(1−y₁₀). Mayor valor = mayor injusticia. Verde: caso paradigmático de disociación (Catatumbo).</w:t>
      </w:r>
    </w:p>
    <w:p>
      <w:pPr>
        <w:spacing w:after="200" w:line="360" w:lineRule="auto"/>
        <w:jc w:val="both"/>
      </w:pPr>
      <w:r>
        <w:rPr>
          <w:rFonts w:ascii="Times New Roman" w:cs="Times New Roman" w:eastAsia="Times New Roman" w:hAnsi="Times New Roman"/>
          <w:b/>
          <w:sz w:val="24"/>
          <w:szCs w:val="24"/>
        </w:rPr>
        <w:t xml:space="preserve">Disociación DIS-IEI. </w:t>
      </w:r>
      <w:r>
        <w:rPr>
          <w:rFonts w:ascii="Times New Roman" w:cs="Times New Roman" w:eastAsia="Times New Roman" w:hAnsi="Times New Roman"/>
          <w:sz w:val="24"/>
          <w:szCs w:val="24"/>
        </w:rPr>
        <w:t xml:space="preserve">El hallazgo central de la comparación es que los dos índices pueden disociarse, y la disociación tiene un caso paradigmático: Catatumbo (Δ=0.514). El Capitán Chaparro exhibe la menor injusticia discursiva del corpus (DIS=0.110 — menor SA, menor NV) pero la mayor injusticia epistémica (IEI=0.624 — máxima distancia semántica a MAFAPO). Reducir la injusticia gramatical y léxica no garantiza adoptar los recursos hermenéuticos de las víctimas. En términos de Fricker (2007), Chaparro corrige la injusticia testimonial —cede autoridad gramatical, habla en primera persona activa, reduce la negación de victimización— pero mantiene la injusticia hermenéutica: su léxico permanece distante del que las víctimas usaron para nombrar su experiencia.</w:t>
      </w:r>
    </w:p>
    <w:p>
      <w:pPr>
        <w:spacing w:after="200" w:line="360" w:lineRule="auto"/>
        <w:jc w:val="both"/>
      </w:pPr>
      <w:r>
        <w:rPr>
          <w:rFonts w:ascii="Times New Roman" w:cs="Times New Roman" w:eastAsia="Times New Roman" w:hAnsi="Times New Roman"/>
          <w:b/>
          <w:sz w:val="24"/>
          <w:szCs w:val="24"/>
        </w:rPr>
        <w:t xml:space="preserve">Coherencia y disociación por subcaso. </w:t>
      </w:r>
      <w:r>
        <w:rPr>
          <w:rFonts w:ascii="Times New Roman" w:cs="Times New Roman" w:eastAsia="Times New Roman" w:hAnsi="Times New Roman"/>
          <w:sz w:val="24"/>
          <w:szCs w:val="24"/>
        </w:rPr>
        <w:t xml:space="preserve">Casanare (Torres Escalante) presenta coherencia negativa: alto DIS (0.808) y alto IEI (0.517), el único subcaso donde ambos tipos de injusticia son simultáneamente elevados. Huila presenta el mejor perfil bi-índice (DIS=0.228, IEI=0.081), como subcaso semánticamente más cercano al léxico de las víctimas. Dabeiba muestra disociación DIS&gt;IEI (0.490 vs 0.299): adoptó el léxico de las víctimas más que la gramática de la responsabilidad. La comparación DIS-IEI sostiene la proposición empírica más original del análisis: en el proceso dialógico de la JEP, la corrección de la injusticia discursiva y la de la injusticia epistémica son fenómenos parcialmente independientes, que pueden avanzar a ritmos y en direcciones distintas.</w:t>
      </w:r>
    </w:p>
    <w:p>
      <w:pPr>
        <w:spacing w:after="200" w:line="360" w:lineRule="auto"/>
        <w:jc w:val="both"/>
      </w:pPr>
      <w:r>
        <w:rPr>
          <w:rFonts w:ascii="Times New Roman" w:cs="Times New Roman" w:eastAsia="Times New Roman" w:hAnsi="Times New Roman"/>
          <w:b/>
          <w:sz w:val="24"/>
          <w:szCs w:val="24"/>
        </w:rPr>
        <w:t xml:space="preserve">Robustez. </w:t>
      </w:r>
      <w:r>
        <w:rPr>
          <w:rFonts w:ascii="Times New Roman" w:cs="Times New Roman" w:eastAsia="Times New Roman" w:hAnsi="Times New Roman"/>
          <w:sz w:val="24"/>
          <w:szCs w:val="24"/>
        </w:rPr>
        <w:t xml:space="preserve">La robustez de los valores DIS e IEI se verificó mediante análisis de sensibilidad de pesos: la condición IEI&gt;DIS de Catatumbo se mantiene en el 100% de 141 combinaciones de pesos plausibles, y su condición de máxima disociación en el 85%. El hallazgo no es un artefacto de la especificación de pesos.</w:t>
      </w:r>
    </w:p>
    <w:p>
      <w:pPr>
        <w:pStyle w:val="Heading2"/>
        <w:spacing w:before="240" w:after="120"/>
      </w:pPr>
      <w:r>
        <w:rPr>
          <w:rFonts w:ascii="Times New Roman" w:cs="Times New Roman" w:eastAsia="Times New Roman" w:hAnsi="Times New Roman"/>
          <w:b/>
          <w:sz w:val="26"/>
          <w:szCs w:val="26"/>
        </w:rPr>
        <w:t xml:space="preserve">5.14 Indicadores Beach (2021): registro léxico, verbos atributivos y evidenciales</w:t>
      </w:r>
    </w:p>
    <w:p>
      <w:pPr>
        <w:spacing w:after="200" w:line="360" w:lineRule="auto"/>
        <w:jc w:val="both"/>
      </w:pPr>
      <w:r>
        <w:rPr>
          <w:rFonts w:ascii="Times New Roman" w:cs="Times New Roman" w:eastAsia="Times New Roman" w:hAnsi="Times New Roman"/>
          <w:b/>
          <w:sz w:val="24"/>
          <w:szCs w:val="24"/>
        </w:rPr>
        <w:t xml:space="preserve">Indicadores léxico-sintácticos. </w:t>
      </w:r>
      <w:r>
        <w:rPr>
          <w:rFonts w:ascii="Times New Roman" w:cs="Times New Roman" w:eastAsia="Times New Roman" w:hAnsi="Times New Roman"/>
          <w:sz w:val="24"/>
          <w:szCs w:val="24"/>
        </w:rPr>
        <w:t xml:space="preserve">Los tres indicadores de Beach et al. (2021) —quotes/registro léxico (y₁₁), verbos atributivos (y₁₂) y evidenciales (y₁₃)— operacionalizan la injusticia testimonial en el nivel léxico-sintáctico, complementando los indicadores semánticos y₈/y₉. Los tres son estadísticamente significativos entre Corpus A y B (p&lt;0.001, Mann-Whitney U bilateral). El hallazgo más robusto es y₁₂ verbos atributivos: A=0.270 vs B=0.058 (4,6× mayor en la justicia ordinaria), que usa significativamente más verbos de baja credibilidad —«alegó», «adujo», «supuestamente»— para referirse a las declaraciones de las víctimas, incorporando el descuento de credibilidad directamente en la gramática del relato judicial.</w:t>
      </w:r>
    </w:p>
    <w:p>
      <w:pPr>
        <w:spacing w:after="200" w:line="360" w:lineRule="auto"/>
        <w:jc w:val="both"/>
      </w:pPr>
      <w:r>
        <w:rPr>
          <w:rFonts w:ascii="Times New Roman" w:cs="Times New Roman" w:eastAsia="Times New Roman" w:hAnsi="Times New Roman"/>
          <w:b/>
          <w:sz w:val="24"/>
          <w:szCs w:val="24"/>
        </w:rPr>
        <w:t xml:space="preserve">Disociación léxico-semántica en Catatumbo. </w:t>
      </w:r>
      <w:r>
        <w:rPr>
          <w:rFonts w:ascii="Times New Roman" w:cs="Times New Roman" w:eastAsia="Times New Roman" w:hAnsi="Times New Roman"/>
          <w:sz w:val="24"/>
          <w:szCs w:val="24"/>
        </w:rPr>
        <w:t xml:space="preserve">Para el Corpus C oral, y₁₁ se operacionaliza como registro léxico MAFAPO frente a militar, dado que las transcripciones automáticas no preservan marcadores tipográficos de cita. Los resultados revelan una disociación de dos niveles en Catatumbo: el Capitán Chaparro usa vocabulario del campo semántico de las víctimas en superficie (proporción MAFAPO=0.736, el segundo más alto) pero su discurso, medido a nivel de embedding profundo, permanece el más distante del centroide MAFAPO (y₈=0.207). Adopta el vocabulario superficial de los recursos hermenéuticos de las víctimas sin adoptar su estructura semántica subyacente. Esta disociación léxico-semántica es el hallazgo más sofisticado del análisis verbal del Corpus C, y refuerza por una vía independiente la disociación DIS-IEI documentada en §5.13.</w:t>
      </w:r>
    </w:p>
    <w:p>
      <w:pPr>
        <w:pStyle w:val="Heading2"/>
        <w:spacing w:before="240" w:after="120"/>
      </w:pPr>
      <w:r>
        <w:rPr>
          <w:rFonts w:ascii="Times New Roman" w:cs="Times New Roman" w:eastAsia="Times New Roman" w:hAnsi="Times New Roman"/>
          <w:b/>
          <w:sz w:val="26"/>
          <w:szCs w:val="26"/>
        </w:rPr>
        <w:t xml:space="preserve">5.15 Integración del canal verbal en el ICM</w:t>
      </w:r>
    </w:p>
    <w:p>
      <w:pPr>
        <w:spacing w:after="200" w:line="360" w:lineRule="auto"/>
        <w:jc w:val="both"/>
      </w:pPr>
      <w:r>
        <w:rPr>
          <w:rFonts w:ascii="Times New Roman" w:cs="Times New Roman" w:eastAsia="Times New Roman" w:hAnsi="Times New Roman"/>
          <w:b/>
          <w:sz w:val="24"/>
          <w:szCs w:val="24"/>
        </w:rPr>
        <w:t xml:space="preserve">El canal verbal como proporción reparadora. </w:t>
      </w:r>
      <w:r>
        <w:rPr>
          <w:rFonts w:ascii="Times New Roman" w:cs="Times New Roman" w:eastAsia="Times New Roman" w:hAnsi="Times New Roman"/>
          <w:sz w:val="24"/>
          <w:szCs w:val="24"/>
        </w:rPr>
        <w:t xml:space="preserve">El canal verbal del ICM se opera mediante el indicador REP (y₁₀) como proporción del discurso reparador, una reformulación que aísla la disposición reparadora del compareciente del factor exógeno de la duración de su intervención —determinada institucionalmente por la JEP, no por el compareciente. Esta operacionalización reconoce que la corrección hermenéutica tiene dos dimensiones potencialmente disociables: la adopción del vocabulario de las víctimas en superficie (capturada por los indicadores Beach) y la adopción de su estructura semántica profunda (capturada por la distancia de embedding y₈). El caso de Chaparro en Catatumbo muestra que ambas pueden divergir, lo que justifica mantener el canal verbal con un peso moderado (0.20) dentro del ICM: es informativo, pero su contenido semántico ya queda parcialmente capturado por los índices DIS e IEI.</w:t>
      </w:r>
    </w:p>
    <w:p>
      <w:pPr>
        <w:pStyle w:val="Heading2"/>
        <w:spacing w:before="240" w:after="120"/>
      </w:pPr>
      <w:r>
        <w:rPr>
          <w:rFonts w:ascii="Times New Roman" w:cs="Times New Roman" w:eastAsia="Times New Roman" w:hAnsi="Times New Roman"/>
          <w:b/>
          <w:sz w:val="26"/>
          <w:szCs w:val="26"/>
        </w:rPr>
        <w:t xml:space="preserve">5.16 Validación de robustez de los pesos del ICM tri-canal</w:t>
      </w:r>
    </w:p>
    <w:p>
      <w:pPr>
        <w:spacing w:after="200" w:line="360" w:lineRule="auto"/>
        <w:jc w:val="both"/>
      </w:pPr>
      <w:r>
        <w:rPr>
          <w:rFonts w:ascii="Times New Roman" w:cs="Times New Roman" w:eastAsia="Times New Roman" w:hAnsi="Times New Roman"/>
          <w:b/>
          <w:sz w:val="24"/>
          <w:szCs w:val="24"/>
        </w:rPr>
        <w:t xml:space="preserve">Procedimiento. </w:t>
      </w:r>
      <w:r>
        <w:rPr>
          <w:rFonts w:ascii="Times New Roman" w:cs="Times New Roman" w:eastAsia="Times New Roman" w:hAnsi="Times New Roman"/>
          <w:sz w:val="24"/>
          <w:szCs w:val="24"/>
        </w:rPr>
        <w:t xml:space="preserve">Dado que el ICM compone los tres canales con pesos fijos (0.40 facial / 0.40 vocal / 0.20 verbal), la estabilidad del ordenamiento de comparecientes ante esa elección se evalúa mediante simulación Monte Carlo, coherente con el procedimiento de sensibilidad de pesos aplicado al DIS Score (§5.13). Se generan pesos alternativos y se calcula el coeficiente de concordancia de rangos Kendall τ entre el ranking resultante y el de referencia, con umbral de robustez τ≥0.80. El análisis se realiza en dos modos complementarios sobre 5.000 simulaciones cada uno.</w:t>
      </w:r>
    </w:p>
    <w:tbl>
      <w:tblPr>
        <w:tblW w:w="8600" w:type="dxa"/>
        <w:tblBorders>
          <w:top w:val="single" w:sz="4" w:color="BBBBBB"/>
          <w:left w:val="single" w:sz="4" w:color="BBBBBB"/>
          <w:bottom w:val="single" w:sz="4" w:color="BBBBBB"/>
          <w:right w:val="single" w:sz="4" w:color="BBBBBB"/>
          <w:insideH w:val="single" w:sz="4" w:color="BBBBBB"/>
          <w:insideV w:val="single" w:sz="4" w:color="BBBBBB"/>
        </w:tblBorders>
        <w:tblLook w:val="04A0"/>
      </w:tblPr>
      <w:tblGrid>
        <w:gridCol w:w="3400"/>
        <w:gridCol w:w="1900"/>
        <w:gridCol w:w="1700"/>
        <w:gridCol w:w="1600"/>
      </w:tblGrid>
      <w:tr>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left"/>
            </w:pPr>
            <w:r>
              <w:rPr>
                <w:rFonts w:ascii="Times New Roman" w:cs="Times New Roman" w:eastAsia="Times New Roman" w:hAnsi="Times New Roman"/>
                <w:b/>
                <w:sz w:val="18"/>
                <w:szCs w:val="18"/>
              </w:rPr>
              <w:t xml:space="preserve">Modo / esquema</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center"/>
            </w:pPr>
            <w:r>
              <w:rPr>
                <w:rFonts w:ascii="Times New Roman" w:cs="Times New Roman" w:eastAsia="Times New Roman" w:hAnsi="Times New Roman"/>
                <w:b/>
                <w:sz w:val="18"/>
                <w:szCs w:val="18"/>
              </w:rPr>
              <w:t xml:space="preserve">Kendall τ</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center"/>
            </w:pPr>
            <w:r>
              <w:rPr>
                <w:rFonts w:ascii="Times New Roman" w:cs="Times New Roman" w:eastAsia="Times New Roman" w:hAnsi="Times New Roman"/>
                <w:b/>
                <w:sz w:val="18"/>
                <w:szCs w:val="18"/>
              </w:rPr>
              <w:t xml:space="preserve">% sim. τ≥0.80</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center"/>
            </w:pPr>
            <w:r>
              <w:rPr>
                <w:rFonts w:ascii="Times New Roman" w:cs="Times New Roman" w:eastAsia="Times New Roman" w:hAnsi="Times New Roman"/>
                <w:b/>
                <w:sz w:val="18"/>
                <w:szCs w:val="18"/>
              </w:rPr>
              <w:t xml:space="preserve">Lectura</w:t>
            </w:r>
          </w:p>
        </w:tc>
      </w:tr>
      <w:tr>
        <w:tc>
          <w:tcPr>
            <w:tcBorders>
              <w:top w:val="single" w:sz="4" w:color="BBBBBB"/>
              <w:left w:val="single" w:sz="4" w:color="BBBBBB"/>
              <w:bottom w:val="single" w:sz="4" w:color="BBBBBB"/>
              <w:right w:val="single" w:sz="4" w:color="BBBBBB"/>
            </w:tcBorders>
            <w:shd w:val="clear" w:fill="E2EFDA"/>
            <w:vAlign w:val="center"/>
          </w:tcPr>
          <w:p>
            <w:pPr>
              <w:spacing w:after="20" w:line="240" w:lineRule="auto"/>
              <w:jc w:val="left"/>
            </w:pPr>
            <w:r>
              <w:rPr>
                <w:rFonts w:ascii="Times New Roman" w:cs="Times New Roman" w:eastAsia="Times New Roman" w:hAnsi="Times New Roman"/>
                <w:sz w:val="18"/>
                <w:szCs w:val="18"/>
              </w:rPr>
              <w:t xml:space="preserve">Restringido (±0.10 local)</w:t>
            </w:r>
          </w:p>
        </w:tc>
        <w:tc>
          <w:tcPr>
            <w:tcBorders>
              <w:top w:val="single" w:sz="4" w:color="BBBBBB"/>
              <w:left w:val="single" w:sz="4" w:color="BBBBBB"/>
              <w:bottom w:val="single" w:sz="4" w:color="BBBBBB"/>
              <w:right w:val="single" w:sz="4" w:color="BBBBBB"/>
            </w:tcBorders>
            <w:shd w:val="clear" w:fill="E2EFDA"/>
            <w:vAlign w:val="center"/>
          </w:tcPr>
          <w:p>
            <w:pPr>
              <w:spacing w:after="20" w:line="240" w:lineRule="auto"/>
              <w:jc w:val="center"/>
            </w:pPr>
            <w:r>
              <w:rPr>
                <w:rFonts w:ascii="Times New Roman" w:cs="Times New Roman" w:eastAsia="Times New Roman" w:hAnsi="Times New Roman"/>
                <w:sz w:val="18"/>
                <w:szCs w:val="18"/>
              </w:rPr>
              <w:t xml:space="preserve">0.908 (medio)</w:t>
            </w:r>
          </w:p>
        </w:tc>
        <w:tc>
          <w:tcPr>
            <w:tcBorders>
              <w:top w:val="single" w:sz="4" w:color="BBBBBB"/>
              <w:left w:val="single" w:sz="4" w:color="BBBBBB"/>
              <w:bottom w:val="single" w:sz="4" w:color="BBBBBB"/>
              <w:right w:val="single" w:sz="4" w:color="BBBBBB"/>
            </w:tcBorders>
            <w:shd w:val="clear" w:fill="E2EFDA"/>
            <w:vAlign w:val="center"/>
          </w:tcPr>
          <w:p>
            <w:pPr>
              <w:spacing w:after="20" w:line="240" w:lineRule="auto"/>
              <w:jc w:val="center"/>
            </w:pPr>
            <w:r>
              <w:rPr>
                <w:rFonts w:ascii="Times New Roman" w:cs="Times New Roman" w:eastAsia="Times New Roman" w:hAnsi="Times New Roman"/>
                <w:sz w:val="18"/>
                <w:szCs w:val="18"/>
              </w:rPr>
              <w:t xml:space="preserve">97.7%</w:t>
            </w:r>
          </w:p>
        </w:tc>
        <w:tc>
          <w:tcPr>
            <w:tcBorders>
              <w:top w:val="single" w:sz="4" w:color="BBBBBB"/>
              <w:left w:val="single" w:sz="4" w:color="BBBBBB"/>
              <w:bottom w:val="single" w:sz="4" w:color="BBBBBB"/>
              <w:right w:val="single" w:sz="4" w:color="BBBBBB"/>
            </w:tcBorders>
            <w:shd w:val="clear" w:fill="E2EFDA"/>
            <w:vAlign w:val="center"/>
          </w:tcPr>
          <w:p>
            <w:pPr>
              <w:spacing w:after="20" w:line="240" w:lineRule="auto"/>
              <w:jc w:val="center"/>
            </w:pPr>
            <w:r>
              <w:rPr>
                <w:rFonts w:ascii="Times New Roman" w:cs="Times New Roman" w:eastAsia="Times New Roman" w:hAnsi="Times New Roman"/>
                <w:sz w:val="18"/>
                <w:szCs w:val="18"/>
              </w:rPr>
              <w:t xml:space="preserve">robusto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8"/>
                <w:szCs w:val="18"/>
              </w:rPr>
              <w:t xml:space="preserve">Completo (todo el simplex)</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0.588 (medio)</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15.7%</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facial decisivo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8"/>
                <w:szCs w:val="18"/>
              </w:rPr>
              <w:t xml:space="preserve">Esquema 45/45/10 (no verbal)</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0.858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robusto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8"/>
                <w:szCs w:val="18"/>
              </w:rPr>
              <w:t xml:space="preserve">Esquema 50/30/20 (facial)</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0.890</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robusto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8"/>
                <w:szCs w:val="18"/>
              </w:rPr>
              <w:t xml:space="preserve">Esquema 33/33/33 (igual)</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0.753</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moderado</w:t>
            </w:r>
          </w:p>
        </w:tc>
      </w:tr>
      <w:tr>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left"/>
            </w:pPr>
            <w:r>
              <w:rPr>
                <w:rFonts w:ascii="Times New Roman" w:cs="Times New Roman" w:eastAsia="Times New Roman" w:hAnsi="Times New Roman"/>
                <w:sz w:val="18"/>
                <w:szCs w:val="18"/>
              </w:rPr>
              <w:t xml:space="preserve">Esquema sin facial (0/60/40)</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8"/>
                <w:szCs w:val="18"/>
              </w:rPr>
              <w:t xml:space="preserve">0.233</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8"/>
                <w:szCs w:val="18"/>
              </w:rPr>
              <w:t xml:space="preserve">—</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8"/>
                <w:szCs w:val="18"/>
              </w:rPr>
              <w:t xml:space="preserve">reordena</w:t>
            </w:r>
          </w:p>
        </w:tc>
      </w:tr>
    </w:tbl>
    <w:p>
      <w:pPr>
        <w:spacing w:after="160" w:line="360" w:lineRule="auto"/>
        <w:jc w:val="both"/>
      </w:pPr>
      <w:r>
        <w:rPr>
          <w:rFonts w:ascii="Times New Roman" w:cs="Times New Roman" w:eastAsia="Times New Roman" w:hAnsi="Times New Roman"/>
          <w:i/>
          <w:sz w:val="20"/>
          <w:szCs w:val="20"/>
        </w:rPr>
        <w:t xml:space="preserve">Tabla 5.16. Sensibilidad de los pesos del ICM tri-canal (Monte Carlo, 5.000 simulaciones por modo; Kendall τ vs. ranking de referencia 0.40/0.40/0.20). Verde: robustez ante variaciones razonables. Ámbar: la eliminación del canal facial reordena el ranking, lo que revela su carácter informativo.</w:t>
      </w:r>
    </w:p>
    <w:p>
      <w:pPr>
        <w:spacing w:after="200" w:line="360" w:lineRule="auto"/>
        <w:jc w:val="both"/>
      </w:pPr>
      <w:r>
        <w:rPr>
          <w:rFonts w:ascii="Times New Roman" w:cs="Times New Roman" w:eastAsia="Times New Roman" w:hAnsi="Times New Roman"/>
          <w:b/>
          <w:sz w:val="24"/>
          <w:szCs w:val="24"/>
        </w:rPr>
        <w:t xml:space="preserve">Resultados. </w:t>
      </w:r>
      <w:r>
        <w:rPr>
          <w:rFonts w:ascii="Times New Roman" w:cs="Times New Roman" w:eastAsia="Times New Roman" w:hAnsi="Times New Roman"/>
          <w:sz w:val="24"/>
          <w:szCs w:val="24"/>
        </w:rPr>
        <w:t xml:space="preserve">Bajo perturbación local de los pesos (±0.10 alrededor de la referencia, variaciones metodológicamente plausibles), el 97,7% de las simulaciones mantiene τ≥0.80, con τ medio de 0.908: el ordenamiento de comparecientes es robusto a la elección razonable de pesos. Bajo exploración del espacio completo de pesos, la concordancia desciende (15,7%), lo que revela que el canal facial es el más informativo del índice: su eliminación reordena sustancialmente el ranking (τ=0.233), mientras que los esquemas que lo conservan con peso sustancial permanecen robustos (τ&gt;0.85). Esta doble caracterización valida empíricamente tanto la inclusión del canal facial como el peso reducido del canal verbal (τ=0.705 al eliminarlo), coherente con su carácter de proxy indirecto ya capturado en los índices DIS e IEI. Los pesos 0.40/0.40/0.20 se ubican, por tanto, en la región estable del espacio de configuraciones.</w:t>
      </w:r>
    </w:p>
    <w:p>
      <w:pPr>
        <w:jc w:val="both"/>
        <w:spacing w:after="80" w:line="340"/>
      </w:pPr>
      <w:r>
        <w:rPr>
          <w:sz w:val="20"/>
          <w:szCs w:val="20"/>
          <w:i/>
          <w:color w:val="2E4057"/>
        </w:rPr>
        <w:t xml:space="preserve">Beach, M. C., et al. (2021). Testimonial Injustice: Linguistic Bias in the Medical Records of Black Patients and Women. Journal of General Internal Medicine.</w:t>
      </w:r>
    </w:p>
    <w:p>
      <w:pPr>
        <w:jc w:val="both"/>
        <w:spacing w:after="80" w:line="340"/>
      </w:pPr>
      <w:r>
        <w:rPr>
          <w:sz w:val="20"/>
          <w:szCs w:val="20"/>
          <w:i/>
          <w:color w:val="2E4057"/>
        </w:rPr>
        <w:t xml:space="preserve">Andrews, S., et al. (2023). Intersectionality and Testimonial Injustice in Medical Records. ACL Clinical NLP Workshop.</w:t>
      </w:r>
    </w:p>
    <w:p>
      <w:pPr>
        <w:spacing w:after="200" w:before="480"/>
      </w:pPr>
      <w:r>
        <w:rPr>
          <w:rFonts w:ascii="Times New Roman" w:cs="Times New Roman" w:eastAsia="Times New Roman" w:hAnsi="Times New Roman"/>
          <w:b/>
          <w:bCs/>
          <w:color w:val="000000"/>
          <w:sz w:val="22"/>
          <w:szCs w:val="22"/>
        </w:rPr>
        <w:t xml:space="preserve">Referencias del capítulo</w:t>
      </w:r>
    </w:p>
    <w:p>
      <w:pPr>
        <w:spacing w:after="120"/>
        <w:ind w:left="720" w:hanging="720"/>
        <w:jc w:val="both"/>
      </w:pPr>
      <w:r>
        <w:rPr>
          <w:rFonts w:ascii="Times New Roman" w:cs="Times New Roman" w:eastAsia="Times New Roman" w:hAnsi="Times New Roman"/>
          <w:color w:val="000000"/>
          <w:sz w:val="20"/>
          <w:szCs w:val="20"/>
        </w:rPr>
        <w:t xml:space="preserve">Barrett, L. F., Adolphs, R., Marsella, S., Martinez, A. M., y Pollak, S. D. (2019). Emotional Expressions Reconsidered: Challenges to Inferring Emotion From Human Facial Movements. Psychological Science in the Public Interest, 20(1), 1–68.
Baird, A. y Coutinho, E. (2019). Sincerity in Acted Speech: The Sincere Apology Corpus (SinA-C). INTERSPEECH 2019.</w:t>
      </w:r>
    </w:p>
    <w:p>
      <w:pPr>
        <w:spacing w:after="120"/>
        <w:ind w:left="720" w:hanging="720"/>
        <w:jc w:val="both"/>
      </w:pPr>
      <w:r>
        <w:rPr>
          <w:rFonts w:ascii="Times New Roman" w:cs="Times New Roman" w:eastAsia="Times New Roman" w:hAnsi="Times New Roman"/>
          <w:color w:val="000000"/>
          <w:sz w:val="20"/>
          <w:szCs w:val="20"/>
        </w:rPr>
        <w:t xml:space="preserve">Bredin, H., et al. (2023). pyannote.audio 2.1 speaker diarization pipeline. ICASSP 2023.</w:t>
      </w:r>
    </w:p>
    <w:p>
      <w:pPr>
        <w:spacing w:after="120"/>
        <w:ind w:left="720" w:hanging="720"/>
        <w:jc w:val="both"/>
      </w:pPr>
      <w:r>
        <w:rPr>
          <w:rFonts w:ascii="Times New Roman" w:cs="Times New Roman" w:eastAsia="Times New Roman" w:hAnsi="Times New Roman"/>
          <w:color w:val="000000"/>
          <w:sz w:val="20"/>
          <w:szCs w:val="20"/>
        </w:rPr>
        <w:t xml:space="preserve">Igolkina, A. A. y Meshcheryakov, G. (2020). semopy: A Python package for Structural Equation Models. arXiv:2003.05838.</w:t>
      </w:r>
    </w:p>
    <w:p>
      <w:pPr>
        <w:spacing w:after="120"/>
        <w:ind w:left="720" w:hanging="720"/>
        <w:jc w:val="both"/>
      </w:pPr>
      <w:r>
        <w:rPr>
          <w:rFonts w:ascii="Times New Roman" w:cs="Times New Roman" w:eastAsia="Times New Roman" w:hAnsi="Times New Roman"/>
          <w:color w:val="000000"/>
          <w:sz w:val="20"/>
          <w:szCs w:val="20"/>
        </w:rPr>
        <w:t xml:space="preserve">JEP. (2022). Resolución de Conclusiones No. 01 y 03 de 2022 — Caso 03. SRVR.</w:t>
      </w:r>
    </w:p>
    <w:p>
      <w:pPr>
        <w:spacing w:after="120"/>
        <w:ind w:left="720" w:hanging="720"/>
        <w:jc w:val="both"/>
      </w:pPr>
      <w:r>
        <w:rPr>
          <w:rFonts w:ascii="Times New Roman" w:cs="Times New Roman" w:eastAsia="Times New Roman" w:hAnsi="Times New Roman"/>
          <w:color w:val="000000"/>
          <w:sz w:val="20"/>
          <w:szCs w:val="20"/>
        </w:rPr>
        <w:t xml:space="preserve">MAFAPO. (2021). Unidas por la Memoria y la Verdad. OIM / Embajada de Suecia.</w:t>
      </w:r>
    </w:p>
    <w:p>
      <w:pPr>
        <w:spacing w:after="120"/>
        <w:ind w:left="720" w:hanging="720"/>
        <w:jc w:val="both"/>
      </w:pPr>
      <w:r>
        <w:rPr>
          <w:rFonts w:ascii="Times New Roman" w:cs="Times New Roman" w:eastAsia="Times New Roman" w:hAnsi="Times New Roman"/>
          <w:color w:val="000000"/>
          <w:sz w:val="20"/>
          <w:szCs w:val="20"/>
        </w:rPr>
        <w:t xml:space="preserve">Mann, H. B. y Whitney, D. R. (1947). On a test of whether one of two random variables is stochastically larger than the other. Annals of Mathematical Statistics, 18(1), 50–60.</w:t>
      </w:r>
    </w:p>
    <w:p>
      <w:pPr>
        <w:spacing w:after="120"/>
        <w:ind w:left="720" w:hanging="720"/>
        <w:jc w:val="both"/>
      </w:pPr>
      <w:r>
        <w:rPr>
          <w:rFonts w:ascii="Times New Roman" w:cs="Times New Roman" w:eastAsia="Times New Roman" w:hAnsi="Times New Roman"/>
          <w:color w:val="000000"/>
          <w:sz w:val="20"/>
          <w:szCs w:val="20"/>
        </w:rPr>
        <w:t xml:space="preserve">Lugaresi, C., et al. (2023). MediaPipe: A Framework for Perceiving and Processing Reality. CVPR Workshop.</w:t>
      </w:r>
    </w:p>
    <w:p>
      <w:pPr>
        <w:spacing w:after="120"/>
        <w:ind w:left="720" w:hanging="720"/>
        <w:jc w:val="both"/>
      </w:pPr>
      <w:r>
        <w:rPr>
          <w:rFonts w:ascii="Times New Roman" w:cs="Times New Roman" w:eastAsia="Times New Roman" w:hAnsi="Times New Roman"/>
          <w:color w:val="000000"/>
          <w:sz w:val="20"/>
          <w:szCs w:val="20"/>
        </w:rPr>
        <w:t xml:space="preserve">Scientific Reports. (2024). The nonverbal expression of guilt in healthy adults. Nature, vol. 14, art. 10607.</w:t>
      </w:r>
    </w:p>
    <w:p>
      <w:pPr>
        <w:spacing w:after="120"/>
        <w:ind w:left="720" w:hanging="720"/>
        <w:jc w:val="both"/>
      </w:pPr>
      <w:r>
        <w:rPr>
          <w:rFonts w:ascii="Times New Roman" w:cs="Times New Roman" w:eastAsia="Times New Roman" w:hAnsi="Times New Roman"/>
          <w:color w:val="000000"/>
          <w:sz w:val="20"/>
          <w:szCs w:val="20"/>
        </w:rPr>
        <w:t xml:space="preserve">Yang, W., et al. (2023). ConfliBERT-Spanish. IEEE CiSt 2023.</w:t>
      </w:r>
    </w:p>
    <w:p>
      <w:pPr>
        <w:spacing w:after="120"/>
        <w:ind w:left="720" w:hanging="720"/>
        <w:jc w:val="both"/>
      </w:pPr>
      <w:r>
        <w:rPr>
          <w:rFonts w:ascii="Times New Roman" w:cs="Times New Roman" w:eastAsia="Times New Roman" w:hAnsi="Times New Roman"/>
          <w:color w:val="000000"/>
          <w:sz w:val="20"/>
          <w:szCs w:val="20"/>
        </w:rPr>
        <w:t xml:space="preserve">Zehr, H. (2002). The Little Book of Restorative Justice. Good Books.</w:t>
      </w:r>
    </w:p>
    <w:sectPr>
      <w:headerReference w:type="default" r:id="rId7"/>
      <w:footerReference w:type="default" r:id="rId8"/>
      <w:pgSz w:w="11906" w:h="16838" w:orient="portrait"/>
      <w:pgMar w:top="2268" w:right="1701" w:bottom="2268" w:left="226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Times New Roman" w:cs="Times New Roman" w:eastAsia="Times New Roman" w:hAnsi="Times New Roman"/>
        <w:i/>
        <w:iCs/>
        <w:color w:val="595959"/>
        <w:sz w:val="20"/>
        <w:szCs w:val="20"/>
      </w:rPr>
      <w:t xml:space="preserve">Hermenéutica Forense Computacional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Times New Roman" w:cs="Times New Roman" w:eastAsia="Times New Roman" w:hAnsi="Times New Roman"/>
      <w:b/>
      <w:bCs/>
      <w:color w:val="0D2137"/>
      <w:sz w:val="28"/>
      <w:szCs w:val="28"/>
    </w:rPr>
  </w:style>
  <w:style w:type="paragraph" w:styleId="Heading2">
    <w:name w:val="Heading 2"/>
    <w:basedOn w:val="Normal"/>
    <w:next w:val="Normal"/>
    <w:qFormat/>
    <w:pPr>
      <w:spacing w:after="180" w:before="36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140" w:before="280"/>
      <w:outlineLvl w:val="2"/>
    </w:pPr>
    <w:rPr>
      <w:rFonts w:ascii="Times New Roman" w:cs="Times New Roman" w:eastAsia="Times New Roman" w:hAnsi="Times New Roman"/>
      <w:b/>
      <w:bCs/>
      <w:i/>
      <w:i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2026-04-15T23:11:45.629Z</dcterms:created>
  <dcterms:modified xsi:type="dcterms:W3CDTF">2026-04-15T23:11:45.630Z</dcterms:modified>
</cp:coreProperties>
</file>

<file path=docProps/custom.xml><?xml version="1.0" encoding="utf-8"?>
<Properties xmlns="http://schemas.openxmlformats.org/officeDocument/2006/custom-properties" xmlns:vt="http://schemas.openxmlformats.org/officeDocument/2006/docPropsVTypes"/>
</file>