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jc w:val="center"/>
        <w:spacing w:after="200" w:before="480" w:line="360" w:lineRule="auto"/>
      </w:pPr>
      <w:r>
        <w:rPr>
          <w:rFonts w:ascii="Times New Roman" w:cs="Times New Roman" w:hAnsi="Times New Roman"/>
          <w:b/>
          <w:sz w:val="28"/>
          <w:szCs w:val="28"/>
        </w:rPr>
        <w:t xml:space="preserve">UNIVERSIDAD EXTERNADO DE COLOMBIA</w:t>
      </w:r>
    </w:p>
    <w:p>
      <w:pPr>
        <w:jc w:val="center"/>
        <w:spacing w:after="200" w:before="0" w:line="360" w:lineRule="auto"/>
      </w:pPr>
      <w:r>
        <w:rPr>
          <w:rFonts w:ascii="Times New Roman" w:cs="Times New Roman" w:hAnsi="Times New Roman"/>
          <w:sz w:val="24"/>
          <w:szCs w:val="24"/>
        </w:rPr>
        <w:t xml:space="preserve">FACULTAD DE INGENIERÍA</w:t>
      </w:r>
    </w:p>
    <w:p>
      <w:pPr>
        <w:jc w:val="center"/>
        <w:spacing w:after="720" w:before="0" w:line="360" w:lineRule="auto"/>
      </w:pPr>
      <w:r>
        <w:rPr>
          <w:rFonts w:ascii="Times New Roman" w:cs="Times New Roman" w:hAnsi="Times New Roman"/>
          <w:sz w:val="24"/>
          <w:szCs w:val="24"/>
        </w:rPr>
        <w:t xml:space="preserve">PROGRAMA DE CIENCIA DE DATOS</w:t>
      </w:r>
    </w:p>
    <w:p>
      <w:pPr>
        <w:jc w:val="center"/>
        <w:spacing w:after="80" w:before="480" w:line="360" w:lineRule="auto"/>
      </w:pPr>
      <w:r>
        <w:rPr>
          <w:rFonts w:ascii="Times New Roman" w:cs="Times New Roman" w:hAnsi="Times New Roman"/>
          <w:b/>
          <w:sz w:val="30"/>
          <w:szCs w:val="30"/>
        </w:rPr>
        <w:t xml:space="preserve">EL LENGUAJE DE LOS FALSOS POSITIVOS:</w:t>
      </w:r>
    </w:p>
    <w:p>
      <w:pPr>
        <w:jc w:val="center"/>
        <w:spacing w:after="720" w:before="0" w:line="360" w:lineRule="auto"/>
      </w:pPr>
      <w:r>
        <w:rPr>
          <w:rFonts w:ascii="Times New Roman" w:cs="Times New Roman" w:hAnsi="Times New Roman"/>
          <w:b/>
          <w:sz w:val="26"/>
          <w:szCs w:val="26"/>
        </w:rPr>
        <w:t xml:space="preserve">MEDICIÓN COMPUTACIONAL MULTIMODAL DE LA INJUSTICIA DISCURSIVA Y EPISTÉMICA EN EL ARCHIVO JUDICIAL COLOMBIANO</w:t>
      </w:r>
    </w:p>
    <w:p>
      <w:pPr>
        <w:jc w:val="center"/>
        <w:spacing w:after="720" w:before="0" w:line="360" w:lineRule="auto"/>
      </w:pPr>
      <w:r>
        <w:rPr>
          <w:rFonts w:ascii="Times New Roman" w:cs="Times New Roman" w:hAnsi="Times New Roman"/>
          <w:i/>
          <w:sz w:val="24"/>
          <w:szCs w:val="24"/>
        </w:rPr>
        <w:t xml:space="preserve">Informe de investigación</w:t>
      </w:r>
    </w:p>
    <w:p>
      <w:pPr>
        <w:jc w:val="center"/>
        <w:spacing w:after="80" w:before="480" w:line="360" w:lineRule="auto"/>
      </w:pPr>
      <w:r>
        <w:rPr>
          <w:rFonts w:ascii="Times New Roman" w:cs="Times New Roman" w:hAnsi="Times New Roman"/>
          <w:sz w:val="24"/>
          <w:szCs w:val="24"/>
        </w:rPr>
        <w:t xml:space="preserve">Presentado por:</w:t>
      </w:r>
    </w:p>
    <w:p>
      <w:pPr>
        <w:jc w:val="center"/>
        <w:spacing w:after="360" w:before="0" w:line="360" w:lineRule="auto"/>
      </w:pPr>
      <w:r>
        <w:rPr>
          <w:rFonts w:ascii="Times New Roman" w:cs="Times New Roman" w:hAnsi="Times New Roman"/>
          <w:b/>
          <w:sz w:val="24"/>
          <w:szCs w:val="24"/>
        </w:rPr>
        <w:t xml:space="preserve">Mireya Camacho Celis</w:t>
      </w:r>
    </w:p>
    <w:p>
      <w:pPr>
        <w:jc w:val="center"/>
        <w:spacing w:after="80" w:before="0" w:line="360" w:lineRule="auto"/>
      </w:pPr>
      <w:r>
        <w:rPr>
          <w:rFonts w:ascii="Times New Roman" w:cs="Times New Roman" w:hAnsi="Times New Roman"/>
          <w:sz w:val="24"/>
          <w:szCs w:val="24"/>
        </w:rPr>
        <w:t xml:space="preserve">Director de tesis:</w:t>
      </w:r>
    </w:p>
    <w:p>
      <w:pPr>
        <w:jc w:val="center"/>
        <w:spacing w:after="720" w:before="0" w:line="360" w:lineRule="auto"/>
      </w:pPr>
      <w:r>
        <w:rPr>
          <w:rFonts w:ascii="Times New Roman" w:cs="Times New Roman" w:hAnsi="Times New Roman"/>
          <w:b/>
          <w:sz w:val="24"/>
          <w:szCs w:val="24"/>
        </w:rPr>
        <w:t xml:space="preserve">Julián Zuluaga</w:t>
      </w:r>
    </w:p>
    <w:p>
      <w:pPr>
        <w:jc w:val="center"/>
        <w:spacing w:after="80" w:before="480" w:line="360" w:lineRule="auto"/>
      </w:pPr>
      <w:r>
        <w:rPr>
          <w:rFonts w:ascii="Times New Roman" w:cs="Times New Roman" w:hAnsi="Times New Roman"/>
          <w:sz w:val="24"/>
          <w:szCs w:val="24"/>
        </w:rPr>
        <w:t xml:space="preserve">Bogotá D.C., Colombia</w:t>
      </w:r>
    </w:p>
    <w:p>
      <w:pPr>
        <w:jc w:val="center"/>
        <w:spacing w:after="200" w:before="0" w:line="360" w:lineRule="auto"/>
      </w:pPr>
      <w:r>
        <w:rPr>
          <w:rFonts w:ascii="Times New Roman" w:cs="Times New Roman" w:hAnsi="Times New Roman"/>
          <w:b/>
          <w:sz w:val="24"/>
          <w:szCs w:val="24"/>
        </w:rPr>
        <w:t xml:space="preserve">2026</w:t>
      </w:r>
    </w:p>
    <w:p>
      <w:r>
        <w:br w:type="page"/>
      </w:r>
    </w:p>
    <w:p>
      <w:pPr>
        <w:spacing w:before="240" w:after="160"/>
      </w:pPr>
      <w:r>
        <w:rPr>
          <w:rFonts w:ascii="Times New Roman" w:cs="Times New Roman" w:hAnsi="Times New Roman"/>
          <w:b/>
          <w:sz w:val="30"/>
          <w:szCs w:val="30"/>
        </w:rPr>
        <w:t xml:space="preserve">Resumen</w:t>
      </w:r>
    </w:p>
    <w:p>
      <w:pPr>
        <w:jc w:val="both"/>
        <w:spacing w:after="200" w:line="360" w:lineRule="auto"/>
      </w:pPr>
      <w:r>
        <w:rPr>
          <w:rFonts w:ascii="Times New Roman" w:cs="Times New Roman" w:hAnsi="Times New Roman"/>
          <w:sz w:val="24"/>
          <w:szCs w:val="24"/>
        </w:rPr>
        <w:t xml:space="preserve">Esta investigación desarrolla la Hermenéutica Forense Computacional (CFH), un marco teórico-metodológico para medir computacionalmente la injusticia discursiva y epistémica en el archivo judicial colombiano sobre las ejecuciones extrajudiciales conocidas como «falsos positivos», correspondientes al Macrocaso 003 de la Jurisdicción Especial para la Paz (JEP). El marco opera en tres capas —léxica, semántica y multimodal— y produce tres índices: el DIS Score (injusticia discursiva), el IEI (injusticia epistémica, que operacionaliza el marco de Fricker) y el ICM tri-canal (congruencia multimodal entre los canales verbal, vocal y facial de las audiencias de reconocimiento). El corpus integra tres subsistemas: justicia ordinaria (Consejo de Estado y Corte Suprema), autos escritos de la JEP y audiencias orales del Macrocaso 003. Entre los hallazgos principales se encuentran una brecha discursiva estructural entre la justicia ordinaria y la transicional, la distancia léxico-civil como predictor más fuerte de la transición epistémica, la disociación entre injusticia discursiva y epistémica (caso paradigmático de Catatumbo) y la disociación entre canales comunicativos como patrón estructural de las audiencias de reconocimiento, caracterizada a nivel individual del compareciente mediante el ICM tri-canal.</w:t>
      </w:r>
    </w:p>
    <w:p>
      <w:pPr>
        <w:jc w:val="both"/>
        <w:spacing w:after="200" w:line="360" w:lineRule="auto"/>
      </w:pPr>
      <w:r>
        <w:rPr>
          <w:rFonts w:ascii="Times New Roman" w:cs="Times New Roman" w:hAnsi="Times New Roman"/>
          <w:b/>
          <w:sz w:val="24"/>
          <w:szCs w:val="24"/>
        </w:rPr>
        <w:t xml:space="preserve">Palabras clave: </w:t>
      </w:r>
      <w:r>
        <w:rPr>
          <w:rFonts w:ascii="Times New Roman" w:cs="Times New Roman" w:hAnsi="Times New Roman"/>
          <w:sz w:val="24"/>
          <w:szCs w:val="24"/>
        </w:rPr>
        <w:t xml:space="preserve">Hermenéutica Forense Computacional; injusticia epistémica; justicia transicional; procesamiento de lenguaje natural; análisis multimodal; falsos positivos; JEP.</w:t>
      </w:r>
    </w:p>
    <w:p>
      <w:r>
        <w:br w:type="page"/>
      </w:r>
    </w:p>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 (CFH):</w:t>
      </w:r>
    </w:p>
    <w:p>
      <w:pPr>
        <w:spacing w:after="120"/>
        <w:jc w:val="center"/>
      </w:pPr>
      <w:r>
        <w:rPr>
          <w:rFonts w:ascii="Times New Roman" w:cs="Times New Roman" w:eastAsia="Times New Roman" w:hAnsi="Times New Roman"/>
          <w:b/>
          <w:bCs/>
          <w:color w:val="0D2137"/>
          <w:sz w:val="28"/>
          <w:szCs w:val="28"/>
        </w:rPr>
        <w:t xml:space="preserve">medición computacional multimodal de la</w:t>
      </w:r>
    </w:p>
    <w:p>
      <w:pPr>
        <w:spacing w:after="600"/>
        <w:jc w:val="center"/>
      </w:pPr>
      <w:r>
        <w:rPr>
          <w:rFonts w:ascii="Times New Roman" w:cs="Times New Roman" w:eastAsia="Times New Roman" w:hAnsi="Times New Roman"/>
          <w:b/>
          <w:bCs/>
          <w:color w:val="0D2137"/>
          <w:sz w:val="26"/>
          <w:szCs w:val="26"/>
        </w:rPr>
        <w:t xml:space="preserve">injusticia discursiva y epistémica en el archivo judicial colombiano</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fldSimple w:instr="PAGEREF Introducción \h"/>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fldSimple w:instr="PAGEREF 1.1_Planteamiento_del_problema \h"/>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fldSimple w:instr="PAGEREF 1.2_Pregunta_de_investigación \h"/>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fldSimple w:instr="PAGEREF 1.3_Objetivos \h"/>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fldSimple w:instr="PAGEREF 1.4_Justificación \h"/>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fldSimple w:instr="PAGEREF 1.5_Estructura_del_documento \h"/>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fldSimple w:instr="PAGEREF 2._Estado_del_arte \h"/>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fldSimple w:instr="PAGEREF 2.1_Violencia_cultural_y_lenguaje_institucional \h"/>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fldSimple w:instr="PAGEREF 2.2_NLP_aplicado_a_textos_judiciales \h"/>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fldSimple w:instr="PAGEREF 2.3_Justicia_transicional_y_análisis_del_discurso \h"/>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fldSimple w:instr="PAGEREF 2.4_Modelos_de_ecuaciones_estructurales_en_ciencias_sociales_computacionales \h"/>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fldSimple w:instr="PAGEREF 3._Marco_teórico \h"/>
      </w:r>
    </w:p>
    <w:p>
      <w:pPr>
        <w:tabs>
          <w:tab w:val="right" w:pos="8640" w:leader="dot"/>
        </w:tabs>
        <w:spacing w:after="80"/>
      </w:pPr>
      <w:r>
        <w:rPr>
          <w:rFonts w:ascii="Times New Roman" w:cs="Times New Roman" w:eastAsia="Times New Roman" w:hAnsi="Times New Roman"/>
          <w:color w:val="000000"/>
          <w:sz w:val="22"/>
          <w:szCs w:val="22"/>
        </w:rPr>
        <w:t xml:space="preserve">    3.1 Violencia cultural y lenguaje institucional: Galtung</w:t>
      </w:r>
      <w:r>
        <w:rPr>
          <w:rFonts w:ascii="Times New Roman" w:cs="Times New Roman" w:eastAsia="Times New Roman" w:hAnsi="Times New Roman"/>
          <w:sz w:val="22"/>
          <w:szCs w:val="22"/>
        </w:rPr>
        <w:fldSimple w:instr="PAGEREF 3.1_Injusticia_discursiva:_el_marco_Fraser-Galtung \h"/>
      </w:r>
    </w:p>
    <w:p>
      <w:pPr>
        <w:tabs>
          <w:tab w:val="right" w:pos="8640" w:leader="dot"/>
        </w:tabs>
        <w:spacing w:after="80"/>
      </w:pPr>
      <w:r>
        <w:rPr>
          <w:rFonts w:ascii="Times New Roman" w:cs="Times New Roman" w:eastAsia="Times New Roman" w:hAnsi="Times New Roman"/>
          <w:color w:val="000000"/>
          <w:sz w:val="22"/>
          <w:szCs w:val="22"/>
        </w:rPr>
        <w:t xml:space="preserve">    3.2 Justicia como reconocimiento: Fraser y Habermas</w:t>
      </w:r>
      <w:r>
        <w:rPr>
          <w:rFonts w:ascii="Times New Roman" w:cs="Times New Roman" w:eastAsia="Times New Roman" w:hAnsi="Times New Roman"/>
          <w:sz w:val="22"/>
          <w:szCs w:val="22"/>
        </w:rPr>
        <w:fldSimple w:instr="PAGEREF 3.2_La_Hermenéutica_Forense_Computacional_(CFH) \h"/>
      </w:r>
    </w:p>
    <w:p>
      <w:pPr>
        <w:tabs>
          <w:tab w:val="right" w:pos="8640" w:leader="dot"/>
        </w:tabs>
        <w:spacing w:after="80"/>
      </w:pPr>
      <w:r>
        <w:rPr>
          <w:rFonts w:ascii="Times New Roman" w:cs="Times New Roman" w:eastAsia="Times New Roman" w:hAnsi="Times New Roman"/>
          <w:color w:val="000000"/>
          <w:sz w:val="22"/>
          <w:szCs w:val="22"/>
        </w:rPr>
        <w:t xml:space="preserve">    3.3 Injusticia epistémica: Fricker y extensión multimodal</w:t>
      </w:r>
      <w:r>
        <w:rPr>
          <w:rFonts w:ascii="Times New Roman" w:cs="Times New Roman" w:eastAsia="Times New Roman" w:hAnsi="Times New Roman"/>
          <w:sz w:val="22"/>
          <w:szCs w:val="22"/>
        </w:rPr>
        <w:fldSimple w:instr="PAGEREF 3.3_El_Discursive_Injustice_Score_(DIS_Score) \h"/>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fldSimple w:instr="PAGEREF 4._Metodología \h"/>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fldSimple w:instr="PAGEREF 4.1_Diseño_de_la_investigación \h"/>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fldSimple w:instr="PAGEREF 4.2_Descripción_del_corpus \h"/>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fldSimple w:instr="PAGEREF 4.3_Pipeline_de_ingesta_y_procesamiento \h"/>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fldSimple w:instr="PAGEREF 4.4_Taxonomía_de_anotación_CFH \h"/>
      </w:r>
    </w:p>
    <w:p>
      <w:pPr>
        <w:tabs>
          <w:tab w:val="right" w:pos="8640" w:leader="dot"/>
        </w:tabs>
        <w:spacing w:after="80"/>
      </w:pPr>
      <w:r>
        <w:rPr>
          <w:rFonts w:ascii="Times New Roman" w:cs="Times New Roman" w:eastAsia="Times New Roman" w:hAnsi="Times New Roman"/>
          <w:color w:val="000000"/>
          <w:sz w:val="22"/>
          <w:szCs w:val="22"/>
        </w:rPr>
        <w:t xml:space="preserve">    4.5 Modelo de análisis de senderos y estadística</w:t>
      </w:r>
      <w:r>
        <w:rPr>
          <w:rFonts w:ascii="Times New Roman" w:cs="Times New Roman" w:eastAsia="Times New Roman" w:hAnsi="Times New Roman"/>
          <w:sz w:val="22"/>
          <w:szCs w:val="22"/>
        </w:rPr>
        <w:fldSimple w:instr="PAGEREF 4.5_Modelo_de_medición_SEM \h"/>
      </w:r>
    </w:p>
    <w:p>
      <w:pPr>
        <w:tabs>
          <w:tab w:val="right" w:pos="8640" w:leader="dot"/>
        </w:tabs>
        <w:spacing w:after="80"/>
      </w:pPr>
      <w:r>
        <w:rPr>
          <w:rFonts w:ascii="Times New Roman" w:cs="Times New Roman" w:eastAsia="Times New Roman" w:hAnsi="Times New Roman"/>
          <w:color w:val="000000"/>
          <w:sz w:val="22"/>
          <w:szCs w:val="22"/>
        </w:rPr>
        <w:t xml:space="preserve">    4.6 Guía de muestreo multimodal y protocolo de validación</w:t>
      </w:r>
      <w:r>
        <w:rPr>
          <w:rFonts w:ascii="Times New Roman" w:cs="Times New Roman" w:eastAsia="Times New Roman" w:hAnsi="Times New Roman"/>
          <w:sz w:val="22"/>
          <w:szCs w:val="22"/>
        </w:rPr>
        <w:fldSimple w:instr="PAGEREF 4.6_Protocolo_de_validación \h"/>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fldSimple w:instr="PAGEREF 5._Resultados \h"/>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fldSimple w:instr="PAGEREF 6._Discusión_y_conclusiones \h"/>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fldSimple w:instr="PAGEREF Referencias \h"/>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fldSimple w:instr="PAGEREF Apéndices \h"/>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injusticia discursiva y epistémica en el archivo judicial colombiano.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La tercera es la dimensión epistémica. El proceso de justicia transicional producido por la JEP en el Macrocaso 003 ha generado nuevas formas de lenguaje — reconocimientos, reparaciones simbólicas, solicitudes de perdón — que contrastan con el archivo ordinario. Sin embargo, como argumenta Fricker (2007), la injusticia epistémica puede persistir incluso cuando el canal verbal ha sido formalmente corregido: la hermeneutical gap entre el lenguaje institucional y el léxico que las víctimas construyeron para hacer inteligible su experiencia puede mantenerse aunque la gramática de la violencia discursiva haya sido aparentemente eliminada. Esta brecha — que el framework CFH operacionaliza como Índice de Injusticia Epistémica (IEI) — es la dimensión más profunda del problema y la que los métodos cualitativos solos no pueden medir a escala.</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¿Existe una ruptura epistémica estadísticamente significativa entre el discurso de la justicia ordinaria y la JEP, medida mediante el índice de injusticia discursiva en sus tres capas —léxica, semántica y multimodal?</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presenta alta o baja congruencia multimodal entre texto, voz y expresión facial, medida mediante el Índice de Congruencia Multimodal (ICM)?</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
- ¿En qué medida existe disociación entre la injusticia discursiva (DIS) y la injusticia epistémica (IEI) en el corpus, y qué revela esa disociación sobre los límites del reconocimiento formal en el proceso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1 léxica: diseñar y validar la Taxonomía CFH (EBI, SA, NV, REP) con κ&gt;0.80, y calcular los indicadores de persona gramatical, hedging, léxico emocional y surprisal sobre el corpus completo.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Calcular el Índice de Congruencia Multimodal (ICM) para medir el grado de congruencia multimodal entre los canales verbal, vocal y facial de los comparecientes, operacionalizando el concepto de reconocimiento de Nancy Fraser (1995) y Zehr (2002).</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Estimar el modelo de análisis de senderos con las tres capas integradas y probar la hipótesis central: que la ruptura epistémica entre justicia ordinaria y JEP es medible, significativa y no atribuible a diferencias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del Macrocaso 003 y la primera operacionalización cuantitativa del Índice de Injusticia Epistémica (IEI) en español jurídico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pStyle w:val="Normal"/>
        <w:jc w:val="both"/>
      </w:pPr>
      <w:r>
        <w:rPr>
          <w:sz w:val="22"/>
        </w:rPr>
        <w:t xml:space="preserve">Desde el punto de vista de la teoría social y la filosofía, el framework CFH produce la primera operacionalización computacional de la injusticia epistémica frickeriana (Fricker, 2007) en un archivo de justicia transicional. La teoría de Fricker identifica la hermeneutical injustice como el tipo de injusticia que opera cuando los recursos colectivos de interpretación son insuficientes para articular una experiencia significativa — exactamente el fenómeno que el archivo de los falsos positivos presenta. El framework CFH hace ese concepto refutable y medible, transformándolo de categoría descriptiva en criterio de verificación empírica.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Zehr (justicia restaurativa) y Fricker (injusticia epistémica y hermeneutical gap), y formaliza el framework CFH con sus tres capas, el DIS Score, el IEI y el ICM tri-canal v2. El Capítulo 4 describe la metodología: corpus multimodal, pipeline de procesamiento, taxonomía CFH, extractores léxicos y semánticos, extracción de features acústicas (OpenSMILE eGeMAPS) y faciales (OpenFace 3.0 / MediaPipe FaceLandmarker), guía de muestreo multimodal de tres filtros,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
La emergencia de los grandes modelos de lenguaje (LLMs) —GPT-4, Claude (Anthropic), Gemini— ha abierto nuevas posibilidades para el análisis cualitativo de textos en ciencias sociales. Gilardi et al. (2023) demostraron que ChatGPT supera a anotadores no especializados en tareas de anotación de texto, y trabajos recientes exploran su uso en análisis cualitativo iterativo donde el investigador sostiene un diálogo con el modelo para explorar categorías emergentes (Kübler-Wachendorff et al., 2024). Sin embargo, para el pipeline CFH se optó por ConfliBERT-Spanish como motor de embeddings y clasificación por tres razones. Primera, razón de dominio: ConfliBERT-Spanish fue preentrenado sobre corpus de conflicto político latinoamericano, mientras los LLMs de propósito general han sido entrenados para evitar reproducir lenguaje de violencia —lo que introduce sesgos sistemáticos en dominios donde ese lenguaje es precisamente el objeto de análisis. Segunda, razón de reproducibilidad: los LLMs con API son sistemas cerrados cuyos pesos y datos de entrenamiento cambian sin aviso; ConfliBERT-Spanish es un modelo abierto con versión fija verificable. Tercera, razón de escala y costo: procesar 4.085 bloques judiciales con un LLM de API tiene costo prohibitivo y latencia incompatible con el pipeline. Los LLMs sí se incorporan en la CFH en una función específica y acotada: la generación de paráfrasis para aumentación de datos en el entrenamiento de CFH-BERT v3 (§4.5.2), donde su capacidad generativa añade valor sin comprometer la reproducibilidad del análisis principal.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Un trabajo reciente que se acerca al objetivo de la CFH desde la ciencia política es Dryzek y Niemeyer (2024), quienes proponen el concepto de injusticia epistémica expresiva (expressive epistemic injustice) y lo operacionalizan mediante el Discourse Representation Index (DRI) sobre datos de procesos deliberativos. Su contribución es metodológicamente próxima a la CFH en cuanto operacionaliza la teoría de Fricker empíricamente. Sin embargo, difiere en tres dimensiones cruciales: su unidad de análisis es el individuo deliberante (no el documento judicial), su método de medición es la encuesta pre-post deliberación (no el análisis computacional de embeddings), y su corpus son espacios de deliberación ciudadana controlados (no archivos de justicia transicional). La CFH llena el espacio que Dryzek y Niemeyer no ocupan: la medición de la injusticia epistémica en el archivo judicial a escala computacional, usando el léxico de las propias víctimas como polo normativo de referencia.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Camara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Goupil et al. (2021)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 xml:space="preserve">La extensión trimodal del framework CFH va más allá de lo que Fricker pudo teorizar, dado que su marco opera sobre el canal verbal-proposicional. El Índice de Congruencia Multimodal (ICM) extiende la injusticia epistémica al dominio multimodal: el caso paradigmático de Catatumbo — un compareciente que corrige el canal gramatical (DIS=0.110, el más bajo del corpus) mientras mantiene la máxima distancia semántica al espacio hermenéutico MAFAPO (IEI=0.624) — ilustra una forma de injusticia epistémica que el análisis verbal solo no puede detectar. Este hallazgo está en línea con la observación de Fricker (2017) sobre formas de injusticia epistémica que resisten la categorización fácil.</w:t>
      </w:r>
    </w:p>
    <w:p>
      <w:pPr>
        <w:pStyle w:val="Normal"/>
        <w:jc w:val="both"/>
      </w:pPr>
      <w:r>
        <w:rPr>
          <w:sz w:val="22"/>
        </w:rPr>
        <w:t xml:space="preserve">El framework CFH llena esta brecha. El Índice de Injusticia Epistémica (IEI) operacionaliza la hermeneutical gap de Fricker como la distancia coseno entre el espacio semántico de un documento judicial y el centroide del corpus MAFAPO — la representación vectorial del léxico que las víctimas construyeron para nombrar su experiencia. Este diseño convierte la hermeneutical injustice de Fricker de una categoría filosófica descriptiva en un criterio de verificación empírica: un documento con IEI alto es semánticamente distante del espacio hermenéutico de las víctimas en una medida cuantificable.</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p>
            <w:r>
              <w:t>Injusticia epistémica operacionalizada</w:t>
            </w:r>
          </w:p>
        </w:tc>
        <w:tc>
          <w:p>
            <w:r>
              <w:t>Dryzek y Niemeyer (2024): DRI por encuesta deliberativa</w:t>
            </w:r>
          </w:p>
        </w:tc>
        <w:tc>
          <w:p>
            <w:r>
              <w:t>CFH: embeddings sobre archivo judicial + centroides MAFAPO como polo normativo de las víctimas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(AU1+AU4+AU15+AU17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(Δ=0.278),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Bohórquez, S., y Mantilla, A. (2025). False Positives in Colombia: State Violence, Ignorance and the Epistemic Struggles of Victims. ERLACS. https://doi.org/10.32992/erlacs.11238
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MediaPipe FaceLandmarker AUs,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MediaPipe FaceLandmarker).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MediaPipe FaceLandmarker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(AU1+AU4+AU15+AU17).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el centroide MAFAPO y el centroide CIDH.
El centroide MAFAPO (v4) se construye a partir de 169 textos de voz directa de víctimas de los falsos positivos organizados en cuatro bloques: (B1) 25 textos del informe MAFAPO «Unidas por la Memoria y la Verdad» (2021); (B2) 15 testimonios de Dejusticia (2024); (B3) 8 párrafos del comunicado conjunto de organizaciones de víctimas — MAFAPO, MOVICE, Colectivo Tejiendo Memorias, CJL, Asociación Minga, CJYC, Observatorio CCEEU, Humanidad Vigente (mayo 2024); y (B4) 102 segmentos de voz directa de familiares extraídos de 11 audiencias de reconocimiento y de observaciones de víctimas del Macrocaso 003 (2022–2026), transcritas con Whisper large-v3 y filtradas por densidad léxica de testimonio directo. Los segmentos del Bloque 4 reciben un peso ponderado mayor (w=1.8) que los textos escritos (w=1.0), por constituir el acto testimonial directo en su contexto de enunciación original — las audiencias JEP — y por coherencia metodológica con la Capa 3 del framework, que analiza esas mismas audiencias mediante el ICM tri-canal.
El centroide CIDH se construye a partir de 25 fragmentos reales de la sentencia Villamizar Durán y otros vs. Colombia (Corte IDH, 2018) y comunicados de la CIDH sobre ejecuciones extrajudiciales en Colombia.
La robustez del centroide MAFAPO v4 se verifica mediante tres criterios: (1) margen de error estadístico de ±7.7% (n=169, fórmula 1/raiz(n)); (2) distancia coseno entre versiones sucesivas Δ=0.0066 — variación presente pero metodológicamente aceptable dado el incremento sustancial de fuentes; y (3) reducción de la correlación entre y₈ y y₉ de r=0.875 (centroide v3b, n=67) a r=0.638 (centroide v4, n=169, p&lt;0.001), lo que confirma que los dos indicadores capturan dimensiones distintas de la injusticia epistémica. Los centroides se construyen como el promedio ponderado de los vectores semánticos de cada corpus de referencia en el espacio de ConfliBERT-Spanish, normalizados a longitud unitaria.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(Lugaresi et al., 2019). </w:t>
      </w:r>
      <w:r>
        <w:rPr>
          <w:rFonts w:ascii="Times New Roman" w:cs="Times New Roman" w:eastAsia="Times New Roman" w:hAnsi="Times New Roman"/>
          <w:color w:val="000000"/>
          <w:sz w:val="24"/>
          <w:szCs w:val="24"/>
        </w:rPr>
        <w:t xml:space="preserve">El canal facial se extrae de manera homogénea en los cinco subcasos del Corpus C mediante MediaPipe FaceLandmarker (Lugaresi et al., 2019), que produce blendshapes faciales en escala 0–1 por frame en modo IMAGE. La homogeneidad del extractor en todo el corpus es condición necesaria para la comparabilidad del canal facial entre comparecientes y subcasos. Por segmento atribuido al compareciente se muestrean los frames válidos y se agrega cada blendshape mediante su media.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blendshapes relevantes para el ICM se mapean a Action Units del sistema FACS: AU1=browInnerUp (ceja interna elevada), AU4=(browDownLeft+browDownRight)/2 (ceño), AU6=(cheekSquintLeft+cheekSquintRight)/2 (elevador de mejilla), AU12=(mouthSmileLeft+mouthSmileRight)/2 (comisura labial), AU15=(mouthFrownLeft+mouthFrownRight)/2 (comisuras hacia abajo) y AU17=mouthPucker (mentón). El componente de distress se opera con las cuatro Action Units de la expresión prototípica de tristeza (Ekman, Friesen y Hager, 2002): AU1, AU4, AU15 y AU17. El blendshape mapeado a AU6 presenta valores próximos a cero en todo el corpus, por lo que no integra el componente de distress y se reporta como nota metodológica sobre la disponibilidad diferencial de los descriptores. La tasa de detección facial varía por audiencia según el ángulo y la distancia de la cámara, lo que se reporta explícitamente y se incorpora a la marcación de robustez de cada compareciente.</w:t>
      </w:r>
    </w:p>
    <w:p>
      <w:pPr>
        <w:spacing w:after="200" w:line="360" w:lineRule="auto"/>
        <w:ind w:firstLine="720"/>
        <w:jc w:val="both"/>
      </w:pPr>
      <w:r>
        <w:rPr>
          <w:sz w:val="24"/>
          <w:szCs w:val="24"/>
        </w:rPr>
        <w:t xml:space="preserve">Una limitación metodológica relevante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menor congruencia multimodal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(Lugaresi et al., 2019) homogéneo en los cinco subcasos. El canal facial se normaliza mediante z-score sobre la distribución del corpus (naturaleza comparativa de los Action Units). Mayor valor = mayor distress facial relativo.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canal vocal se extrae con OpenSMILE eGeMAPS (Eyben et al., 2016), que produce 88 descriptores acústicos por ventana. De ese conjunto, el ICM vocal se opera con tres descriptores de fundamento prosódico directo en el distress: el shimmer (irregularidad de amplitud, asociada al quiebre de voz), la variabilidad normalizada de F0 (modulación tonal) y el HNR invertido (calidad vocal asociada a carga emocional). Se excluye el jitter por la inconsistencia documentada de su interpretación. El canal vocal se normaliza mediante una escala fija anclada en valores de referencia de la literatura —piso fisiológico y techo documentado—, de modo que produce valores absolutos comparables e independientes de la composición de la muestra. Las ventanas de silencio y pausa del compareciente se conservan en el análisis: en el contexto de las audiencias de reconocimiento, la pausa y el silencio no son ausencia de señal sino parte constitutiva del acto de reconocimiento (Zehr, 2002; Baird y Coutinho, 2019). La extracción está completa para los cinco subcasos.</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—facial (Action Units MediaPipe), vocal (descriptores eGeMAPS) y verbal (REP, y₁₀)— en un índice de congruencia comunicativa calculado a nivel individual del compareciente. Cada canal se normaliza según su propia naturaleza de medición: el facial mediante z-score comparativo sobre la distribución del corpus (con media y desviación estándar congeladas como constantes de calibración), el vocal mediante escala fija de literatura, y el verbal como proporción del discurso reparador. El componente de distress facial promedia las cuatro Action Units de tristeza prototípica (AU1, AU4, AU15, AU17). El índice tri-canal se compone con pesos 0.40 facial / 0.40 vocal / 0.20 verbal, renormalizados cuando un canal carece de cobertura suficiente; cada compareciente recibe además una marca de robustez (sólido / mínimo) según la suficiencia de evidencia por canal.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Camara et al. (2024), los modelos entrenados en contextos low-stakes no transfieren a high-stakes; por ello la CFH calibra el ICM desde el propio corpus del Macrocaso 003.</w:t>
      </w:r>
    </w:p>
    <w:p>
      <w:pPr>
        <w:spacing w:before="240" w:after="120" w:line="360" w:lineRule="auto"/>
        <w:jc w:val="both"/>
      </w:pPr>
      <w:r>
        <w:rPr>
          <w:rFonts w:ascii="Times New Roman" w:cs="Times New Roman" w:eastAsia="Times New Roman" w:hAnsi="Times New Roman"/>
          <w:b/>
          <w:sz w:val="24"/>
          <w:szCs w:val="24"/>
        </w:rPr>
        <w:t xml:space="preserve">4.5.4.4 Validación de robustez de los pesos del ICM.</w:t>
      </w:r>
    </w:p>
    <w:p>
      <w:pPr>
        <w:spacing w:after="200" w:line="360" w:lineRule="auto"/>
        <w:ind w:firstLine="720"/>
        <w:jc w:val="both"/>
      </w:pPr>
      <w:r>
        <w:rPr>
          <w:rFonts w:ascii="Times New Roman" w:cs="Times New Roman" w:eastAsia="Times New Roman" w:hAnsi="Times New Roman"/>
          <w:sz w:val="24"/>
          <w:szCs w:val="24"/>
        </w:rPr>
        <w:t xml:space="preserve">Dado que la composición tri-canal del ICM emplea pesos fijos (0.40 facial / 0.40 vocal / 0.20 verbal), la estabilidad del ordenamiento de comparecientes ante esa elección se evalúa mediante simulación Monte Carlo, siguiendo el mismo procedimiento de sensibilidad de pesos aplicado al DIS Score. Para cada simulación se generan pesos alternativos y se calcula el coeficiente de concordancia de rangos Kendall τ entre el ranking resultante y el ranking de referencia, con un umbral de robustez de τ≥0.80. El análisis se realiza en dos modos complementarios. El modo restringido perturba localmente los pesos (±0.10 alrededor de la referencia), representando variaciones metodológicamente plausibles. El modo completo explora todo el espacio de pesos (simplex), incluyendo configuraciones extremas, para revelar la importancia relativa de cada canal.</w:t>
      </w:r>
    </w:p>
    <w:p>
      <w:pPr>
        <w:spacing w:after="200" w:line="360" w:lineRule="auto"/>
        <w:ind w:firstLine="720"/>
        <w:jc w:val="both"/>
      </w:pPr>
      <w:r>
        <w:rPr>
          <w:rFonts w:ascii="Times New Roman" w:cs="Times New Roman" w:eastAsia="Times New Roman" w:hAnsi="Times New Roman"/>
          <w:sz w:val="24"/>
          <w:szCs w:val="24"/>
        </w:rPr>
        <w:t xml:space="preserve">Esta doble caracterización ofrece una lectura completa de la robustez: el modo restringido cuantifica la estabilidad del índice ante decisiones razonables sobre los pesos, mientras que el modo completo identifica qué canal aporta la mayor parte de la información ordenadora. Los resultados se presentan en el Capítulo 5 (§5.16).</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(10.897 ventanas, 4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siguiendo el procedimiento de Baird y Coutinho (2019), mediante la correlación entre el ICM calculado y la percepción humana de congruencia comunicativa —la coherencia entre lo que el compareciente dice y cómo lo expresa vocal y facialmente— sobre una muestra de segmentos del Corpus C. Coherentemente con las salvaguardas epistemológicas del ICM, esta validación contrasta la congruencia entre canales, no la sinceridad psicológica individual del compareciente.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
El tamaño de efecto (Cohen's d) calculado sobre N_B=214 secciones confirma la robustez de los hallazgos principales: y₁₀ REP muestra el efecto más grande (d=0.514, p&lt;0.001), seguido por el DIS sintético (d=0.335, p&lt;0.001) e y₂ SA (d=0.257, p=0.023). El indicador y₄ NV no alcanza significación individual (d=0.324, p=0.354 n.s.), coherente con el hallazgo de §5.2.4 sobre la coexistencia de NV y REP por metalenguaje citativo en el Corpus B. Según la escala de Cohen (1988), los efectos de REP (d=0.514) y DIS (d=0.335) son efectos medianos — sustancialmente interpretables en el contexto del análisis de corpus judiciales.
Para evaluar la robustez de los pesos del DIS Score, se realizó un análisis de sensibilidad sobre 171 combinaciones sistemáticas de pesos (paso Δ=0.05, condición w_SA + w_NV + w_REP = 1.0). El 43.3% de las combinaciones (74/171) produce separación estadísticamente significativa A vs B (p&lt;0.05), con un d_cohen máximo de 0.496. Los pesos teóricos habermasianos (w_SA=0.35, w_NV=0.35, w_REP=0.30) producen d=0.204, dentro del rango de variación estable. Este resultado indica que el hallazgo A vs B no depende de la especificación exacta de los pesos sino que refleja una diferencia estructural entre los dos sistemas de justicia.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before="240" w:after="120"/>
      </w:pPr>
      <w:r>
        <w:rPr>
          <w:rFonts w:ascii="Times New Roman" w:cs="Times New Roman" w:eastAsia="Times New Roman" w:hAnsi="Times New Roman"/>
          <w:b/>
          <w:sz w:val="26"/>
          <w:szCs w:val="26"/>
        </w:rPr>
        <w:t xml:space="preserve">5.9 Capa 3 — Canal facial: composición del distress y normalización</w:t>
      </w:r>
    </w:p>
    <w:p>
      <w:pPr>
        <w:spacing w:after="200" w:line="360" w:lineRule="auto"/>
        <w:jc w:val="both"/>
      </w:pPr>
      <w:r>
        <w:rPr>
          <w:rFonts w:ascii="Times New Roman" w:cs="Times New Roman" w:eastAsia="Times New Roman" w:hAnsi="Times New Roman"/>
          <w:b/>
          <w:sz w:val="24"/>
          <w:szCs w:val="24"/>
        </w:rPr>
        <w:t xml:space="preserve">Extracción y atribución. </w:t>
      </w:r>
      <w:r>
        <w:rPr>
          <w:rFonts w:ascii="Times New Roman" w:cs="Times New Roman" w:eastAsia="Times New Roman" w:hAnsi="Times New Roman"/>
          <w:sz w:val="24"/>
          <w:szCs w:val="24"/>
        </w:rPr>
        <w:t xml:space="preserve">La Capa 3 multimodal del framework CFH extrae Action Units (AUs) faciales de los comparecientes en las audiencias de reconocimiento mediante MediaPipe FaceLandmarker, de manera homogénea en los cinco subcasos del Corpus C. La atribución de los segmentos faciales a cada compareciente se ancla en la marcación temporal verificada de su intervención —a partir de los letreros de identificación en pantalla de la JEP—, lo que garantiza una asignación de identidad auditable e independiente de la diarización automática. La unidad de análisis es el compareciente individual: cada uno recibe un valor de distress facial propio, calculado sobre sus frames válidos.</w:t>
      </w:r>
    </w:p>
    <w:p>
      <w:pPr>
        <w:spacing w:after="200" w:line="360" w:lineRule="auto"/>
        <w:jc w:val="both"/>
      </w:pPr>
      <w:r>
        <w:rPr>
          <w:rFonts w:ascii="Times New Roman" w:cs="Times New Roman" w:eastAsia="Times New Roman" w:hAnsi="Times New Roman"/>
          <w:b/>
          <w:sz w:val="24"/>
          <w:szCs w:val="24"/>
        </w:rPr>
        <w:t xml:space="preserve">Composición del distress. </w:t>
      </w:r>
      <w:r>
        <w:rPr>
          <w:rFonts w:ascii="Times New Roman" w:cs="Times New Roman" w:eastAsia="Times New Roman" w:hAnsi="Times New Roman"/>
          <w:sz w:val="24"/>
          <w:szCs w:val="24"/>
        </w:rPr>
        <w:t xml:space="preserve">El componente de distress facial se opera con las cuatro Action Units de la expresión prototípica de tristeza del sistema FACS (Ekman, Friesen y Hager, 2002): AU1 (ceja interna elevada), AU4 (ceño), AU15 (comisuras hacia abajo) y AU17 (mentón). El análisis de la contribución de cada AU sobre 51.220 frames del corpus permite caracterizar con precisión cómo se compone esta señal, y arroja un hallazgo metodológico de interés para el análisis facial en contextos de habla continua.</w:t>
      </w:r>
    </w:p>
    <w:tbl>
      <w:tblPr>
        <w:tblW w:w="88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400"/>
        <w:gridCol w:w="3400"/>
        <w:gridCol w:w="24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Action Unit</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Descriptor FACS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Contribución al distress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Correlación (r)</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AU4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Ceño (brow lowerer)</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52%</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0.524</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Ceja interna elevada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0.260</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AU17</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Mentón (chin raiser)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0.691</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AU15</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Comisuras hacia abajo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0.092</w:t>
            </w:r>
          </w:p>
        </w:tc>
      </w:tr>
    </w:tbl>
    <w:p>
      <w:pPr>
        <w:spacing w:after="160" w:line="360" w:lineRule="auto"/>
        <w:jc w:val="both"/>
      </w:pPr>
      <w:r>
        <w:rPr>
          <w:rFonts w:ascii="Times New Roman" w:cs="Times New Roman" w:eastAsia="Times New Roman" w:hAnsi="Times New Roman"/>
          <w:i/>
          <w:sz w:val="20"/>
          <w:szCs w:val="20"/>
        </w:rPr>
        <w:t xml:space="preserve">Tabla 5.9. Composición del distress facial por Action Unit (51.220 frames, Corpus C). AU4 (ceño) es el contribuyente dominante; AU1 y AU17 aportan sustancialmente; AU15 es marginal. La correlación es la del AU con el distress agregado de las cuatro unidades.</w:t>
      </w:r>
    </w:p>
    <w:p>
      <w:pPr>
        <w:spacing w:after="200" w:line="360" w:lineRule="auto"/>
        <w:jc w:val="both"/>
      </w:pPr>
      <w:r>
        <w:rPr>
          <w:rFonts w:ascii="Times New Roman" w:cs="Times New Roman" w:eastAsia="Times New Roman" w:hAnsi="Times New Roman"/>
          <w:b/>
          <w:sz w:val="24"/>
          <w:szCs w:val="24"/>
        </w:rPr>
        <w:t xml:space="preserve">Supresión de AUs bucales por el habla. </w:t>
      </w:r>
      <w:r>
        <w:rPr>
          <w:rFonts w:ascii="Times New Roman" w:cs="Times New Roman" w:eastAsia="Times New Roman" w:hAnsi="Times New Roman"/>
          <w:sz w:val="24"/>
          <w:szCs w:val="24"/>
        </w:rPr>
        <w:t xml:space="preserve">AU4 (ceño) es el contribuyente dominante del distress (52%), seguido de AU1 (24%) y AU17 (23%); AU15 aporta de forma marginal (2%). Un hallazgo adicional refina la interpretación del canal facial en este corpus: las Action Units de la región bucal muestran supresión sistemática durante el habla. AU17 desciende cerca del 80% en los frames de habla activa frente a los frames de boca en reposo, y AU15 —ya de por sí de baja magnitud— se atenúa de forma análoga. Esto es coherente con la literatura sobre la interferencia del habla en la codificación facial: el movimiento articulatorio enmascara las AUs bucales. AU4, situada en la región frontal e independiente del aparato fonador, resulta por ello el indicador de distress más estable en audiencias donde los comparecientes hablan de forma continua. Este comportamiento se documenta como característica metodológica del análisis facial en contextos forenses orales, no como deficiencia de la medición.</w:t>
      </w:r>
    </w:p>
    <w:p>
      <w:pPr>
        <w:spacing w:after="200" w:line="360" w:lineRule="auto"/>
        <w:jc w:val="both"/>
      </w:pPr>
      <w:r>
        <w:rPr>
          <w:rFonts w:ascii="Times New Roman" w:cs="Times New Roman" w:eastAsia="Times New Roman" w:hAnsi="Times New Roman"/>
          <w:b/>
          <w:sz w:val="24"/>
          <w:szCs w:val="24"/>
        </w:rPr>
        <w:t xml:space="preserve">Normalización comparativa. </w:t>
      </w:r>
      <w:r>
        <w:rPr>
          <w:rFonts w:ascii="Times New Roman" w:cs="Times New Roman" w:eastAsia="Times New Roman" w:hAnsi="Times New Roman"/>
          <w:sz w:val="24"/>
          <w:szCs w:val="24"/>
        </w:rPr>
        <w:t xml:space="preserve">El canal facial se normaliza mediante z-score sobre la distribución del corpus (media μ=0.1024 y desviación estándar σ=0.0369, congeladas como constantes de calibración), mapeado al rango [0,1]. Esta elección responde a la naturaleza comparativa de los Action Units: conforme a Barrett et al. (2019), la intensidad absoluta de las configuraciones faciales no es directamente interpretable, por lo que la expresión facial se evalúa de forma relativa entre individuos. La normalización z-score preserva el poder discriminativo del canal en todo el rango sin saturar artificialmente a ningún compareciente, y la calibración fija asegura reproducibilidad: la incorporación de comparecientes adicionales no recalcula la escala.</w:t>
      </w:r>
    </w:p>
    <w:p>
      <w:pPr>
        <w:spacing w:after="200" w:line="360" w:lineRule="auto"/>
        <w:jc w:val="both"/>
      </w:pPr>
      <w:r>
        <w:rPr>
          <w:rFonts w:ascii="Times New Roman" w:cs="Times New Roman" w:eastAsia="Times New Roman" w:hAnsi="Times New Roman"/>
          <w:b/>
          <w:sz w:val="24"/>
          <w:szCs w:val="24"/>
        </w:rPr>
        <w:t xml:space="preserve">Nota epistemológica. </w:t>
      </w:r>
      <w:r>
        <w:rPr>
          <w:rFonts w:ascii="Times New Roman" w:cs="Times New Roman" w:eastAsia="Times New Roman" w:hAnsi="Times New Roman"/>
          <w:sz w:val="24"/>
          <w:szCs w:val="24"/>
        </w:rPr>
        <w:t xml:space="preserve">Los resultados de la Capa 3 deben leerse con una cautela fundamental. Conforme a Barrett et al. (2019), las configuraciones faciales no decodifican estados emocionales internos de manera universal; el ICM facial no mide sinceridad ni autenticidad psicológica individual. Mide congruencia entre señales comunicativas multimodales a nivel del compareciente —una caracterización comparativa, no una evaluación de personas. Adicionalmente, MediaPipe FaceLandmarker no ha sido auditado sobre rostros mestizos, afrocolombianos o indígenas (Buolamwini y Gebru, 2018; Camara et al., 2024), lo que constituye una limitación de transferibilidad explícita.</w:t>
      </w:r>
    </w:p>
    <w:p>
      <w:pPr>
        <w:pStyle w:val="Heading2"/>
        <w:spacing w:before="240" w:after="120"/>
      </w:pPr>
      <w:r>
        <w:rPr>
          <w:rFonts w:ascii="Times New Roman" w:cs="Times New Roman" w:eastAsia="Times New Roman" w:hAnsi="Times New Roman"/>
          <w:b/>
          <w:sz w:val="26"/>
          <w:szCs w:val="26"/>
        </w:rPr>
        <w:t xml:space="preserve">5.10 Capa 3 — ICM tri-canal por compareciente</w:t>
      </w:r>
    </w:p>
    <w:p>
      <w:pPr>
        <w:spacing w:after="200" w:line="360" w:lineRule="auto"/>
        <w:jc w:val="both"/>
      </w:pPr>
      <w:r>
        <w:rPr>
          <w:rFonts w:ascii="Times New Roman" w:cs="Times New Roman" w:eastAsia="Times New Roman" w:hAnsi="Times New Roman"/>
          <w:b/>
          <w:sz w:val="24"/>
          <w:szCs w:val="24"/>
        </w:rPr>
        <w:t xml:space="preserve">Cómputo individual. </w:t>
      </w:r>
      <w:r>
        <w:rPr>
          <w:rFonts w:ascii="Times New Roman" w:cs="Times New Roman" w:eastAsia="Times New Roman" w:hAnsi="Times New Roman"/>
          <w:sz w:val="24"/>
          <w:szCs w:val="24"/>
        </w:rPr>
        <w:t xml:space="preserve">El Índice de Congruencia Multimodal se calcula para cada compareciente individualmente, integrando los tres canales con pesos 0.40 facial / 0.40 vocal / 0.20 verbal. El canal facial se normaliza por z-score comparativo; el vocal mediante escala fija anclada en valores de referencia de la literatura (shimmer, variabilidad de F0 y HNR invertido); y el verbal como proporción del discurso reparador (REP, y₁₀). Cuando un canal carece de cobertura suficiente, el índice se renormaliza sobre los canales disponibles. Cada compareciente recibe una marca de robustez —sólido o mínimo— según la suficiencia de evidencia por canal: se exigen al menos 100 tokens para el canal verbal, 10 ventanas para el vocal y 25 frames para el facial. De los 47 comparecientes con cobertura suficiente para el ICM, 38 se clasifican como sólidos y 9 como mínimos.</w:t>
      </w:r>
    </w:p>
    <w:tbl>
      <w:tblPr>
        <w:tblW w:w="965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300"/>
        <w:gridCol w:w="2900"/>
        <w:gridCol w:w="1000"/>
        <w:gridCol w:w="1000"/>
        <w:gridCol w:w="1100"/>
        <w:gridCol w:w="1150"/>
        <w:gridCol w:w="12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Compareciente</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Facial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Vocal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Verbal
(REP)</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ICM
tri-canal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Robustez</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Chaparro Chaparro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Ruben Dario Castro Gomez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Santiago Herrera Fajardo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Henry Torres Escalante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Soto Sepulveda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Heber Hernan Gomez Naranjo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0.405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de Jesus Rueda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Manuel Valentin Padilla Espitia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Yeris Andres Gomez Coronel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Yair Leandro Rodríguez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Edie Pinzón Turcios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Jaime Coral Trujillo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Carlos Andrés Caravalli</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0.382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0.468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William Andrés Capera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Efraín Enrique Prada Correa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Hermes Mauricio Alvarado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Manuel Buelvas Lozano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Alfonso Romero Buitrago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0.377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Fidel Iván Ochoa Blanco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Luis Fidel Arenas Rodríguez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0.732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0.488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Levis de Jesús Contreras</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Aris Ramirez Campos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Angel Fernando Carvajal Rojas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Fernandez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0.273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Aguilera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Albeiro Bustos Aguilar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Fabio Guzman Muñoz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Fabian Fermin Durango de la Cruz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Yati Anacona Bueno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Francisco Javier Castañeda Alfaro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David Restrepo Solarte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Oyola Tapia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Wilder Samboni Chanchi</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0.383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Jose Gañan Tapasco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0.227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Divar Juspian Jimenez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Jhon Jairo Buitrago Lopez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Harbey Sanchez Gomez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0.520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0.363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0.412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Andres Lopez Garcia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0.461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Annuar Herrera Osorio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0.278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Arias Sanchez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Fernando Riveros Sarmiento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Faiver Coronado Camero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0.601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Roldan Lopez Ceron</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0.478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Julian Andres Calderon Motta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0.520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Cesar Augusto Vasquez Ordoñez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Fabio Nelson Rodriguez Barrera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Hernando Mendez Rodriguez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0.579</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bl>
    <w:p>
      <w:pPr>
        <w:spacing w:after="160" w:line="360" w:lineRule="auto"/>
        <w:jc w:val="both"/>
      </w:pPr>
      <w:r>
        <w:rPr>
          <w:rFonts w:ascii="Times New Roman" w:cs="Times New Roman" w:eastAsia="Times New Roman" w:hAnsi="Times New Roman"/>
          <w:i/>
          <w:sz w:val="20"/>
          <w:szCs w:val="20"/>
        </w:rPr>
        <w:t xml:space="preserve">Tabla 5.10. ICM tri-canal por compareciente (47 comparecientes, Corpus C). Facial normalizado por z-score comparativo; vocal por escala fija de literatura; verbal como proporción del discurso reparador. ICM = 0.40·facial + 0.40·vocal + 0.20·verbal, renormalizado por cobertura. Filas ámbar: robustez mínima (evidencia escasa en al menos un canal). Ordenado por subcaso y por ICM ascendente.</w:t>
      </w:r>
    </w:p>
    <w:p>
      <w:pPr>
        <w:pStyle w:val="Heading2"/>
        <w:spacing w:before="240" w:after="120"/>
      </w:pPr>
      <w:r>
        <w:rPr>
          <w:rFonts w:ascii="Times New Roman" w:cs="Times New Roman" w:eastAsia="Times New Roman" w:hAnsi="Times New Roman"/>
          <w:b/>
          <w:sz w:val="26"/>
          <w:szCs w:val="26"/>
        </w:rPr>
        <w:t xml:space="preserve">5.11 Capa 3 — Síntesis interpretativa por subcaso</w:t>
      </w:r>
    </w:p>
    <w:p>
      <w:pPr>
        <w:spacing w:after="200" w:line="360" w:lineRule="auto"/>
        <w:jc w:val="both"/>
      </w:pPr>
      <w:r>
        <w:rPr>
          <w:rFonts w:ascii="Times New Roman" w:cs="Times New Roman" w:eastAsia="Times New Roman" w:hAnsi="Times New Roman"/>
          <w:b/>
          <w:sz w:val="24"/>
          <w:szCs w:val="24"/>
        </w:rPr>
        <w:t xml:space="preserve">Del subcaso al individuo. </w:t>
      </w:r>
      <w:r>
        <w:rPr>
          <w:rFonts w:ascii="Times New Roman" w:cs="Times New Roman" w:eastAsia="Times New Roman" w:hAnsi="Times New Roman"/>
          <w:sz w:val="24"/>
          <w:szCs w:val="24"/>
        </w:rPr>
        <w:t xml:space="preserve">El nivel individual revela un patrón que el análisis agregado por subcaso no podía mostrar: la congruencia multimodal es un atributo del compareciente, no del subcaso. La dispersión intra-subcaso es sustancial y, en varios casos, supera las diferencias entre subcasos. La siguiente tabla resume la distribución del ICM por subcaso; las medias deben leerse como descriptores de tendencia central, no como valores que caractericen uniformemente a todos los comparecientes del subcaso.</w:t>
      </w:r>
    </w:p>
    <w:tbl>
      <w:tblPr>
        <w:tblW w:w="79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800"/>
        <w:gridCol w:w="1500"/>
        <w:gridCol w:w="1300"/>
        <w:gridCol w:w="1300"/>
        <w:gridCol w:w="13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ICM medio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mín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máx</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rango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0.344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0.017</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0.000</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0.091</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0.370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0.256</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0.410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0.336</w:t>
            </w:r>
          </w:p>
        </w:tc>
      </w:tr>
    </w:tbl>
    <w:p>
      <w:pPr>
        <w:spacing w:after="160" w:line="360" w:lineRule="auto"/>
        <w:jc w:val="both"/>
      </w:pPr>
      <w:r>
        <w:rPr>
          <w:rFonts w:ascii="Times New Roman" w:cs="Times New Roman" w:eastAsia="Times New Roman" w:hAnsi="Times New Roman"/>
          <w:i/>
          <w:sz w:val="20"/>
          <w:szCs w:val="20"/>
        </w:rPr>
        <w:t xml:space="preserve">Tabla 5.11. Distribución del ICM tri-canal por subcaso. Casanare tiene un único compareciente identificado (General Torres Escalante). La amplitud del rango en Huila (0.336) y Dabeiba (0.256) evidencia que la congruencia multimodal varía más entre individuos de un mismo subcaso que entre las medias de los subcasos.</w:t>
      </w:r>
    </w:p>
    <w:p>
      <w:pPr>
        <w:spacing w:after="200" w:line="360" w:lineRule="auto"/>
        <w:jc w:val="both"/>
      </w:pPr>
      <w:r>
        <w:rPr>
          <w:rFonts w:ascii="Times New Roman" w:cs="Times New Roman" w:eastAsia="Times New Roman" w:hAnsi="Times New Roman"/>
          <w:b/>
          <w:sz w:val="24"/>
          <w:szCs w:val="24"/>
        </w:rPr>
        <w:t xml:space="preserve">Casanare (Torres Escalante). </w:t>
      </w:r>
      <w:r>
        <w:rPr>
          <w:rFonts w:ascii="Times New Roman" w:cs="Times New Roman" w:eastAsia="Times New Roman" w:hAnsi="Times New Roman"/>
          <w:sz w:val="24"/>
          <w:szCs w:val="24"/>
        </w:rPr>
        <w:t xml:space="preserve">Torres Escalante es el único compareciente identificado del subcaso y presenta un perfil de divergencia entre canales que constituye el hallazgo más interpretativo de la Capa 3. Su canal vocal es el más alto del corpus (0.624 — alta irregularidad prosódica, con el shimmer más elevado), mientras su canal facial es comparativamente bajo (0.346). La divergencia entre ambos canales no verbales (Δ=0.278) es la mayor del corpus: la voz comunica carga emocional mientras el rostro mantiene una expresión contenida, con la sonrisa (AU12) más alta y el ceño (AU4) más bajo entre los comparecientes con buena detección. Antes que leerse como «el ICM más bajo», el patrón se caracteriza con mayor precisión como la máxima divergencia vocal-facial del corpus —una incongruencia entre canales no verbales que ningún análisis monomodal podría capturar.</w:t>
      </w:r>
    </w:p>
    <w:p>
      <w:pPr>
        <w:spacing w:after="200" w:line="360" w:lineRule="auto"/>
        <w:jc w:val="both"/>
      </w:pPr>
      <w:r>
        <w:rPr>
          <w:rFonts w:ascii="Times New Roman" w:cs="Times New Roman" w:eastAsia="Times New Roman" w:hAnsi="Times New Roman"/>
          <w:b/>
          <w:sz w:val="24"/>
          <w:szCs w:val="24"/>
        </w:rPr>
        <w:t xml:space="preserve">Catatumbo (Chaparro, Castro, Herrera). </w:t>
      </w:r>
      <w:r>
        <w:rPr>
          <w:rFonts w:ascii="Times New Roman" w:cs="Times New Roman" w:eastAsia="Times New Roman" w:hAnsi="Times New Roman"/>
          <w:sz w:val="24"/>
          <w:szCs w:val="24"/>
        </w:rPr>
        <w:t xml:space="preserve">Los tres comparecientes de Catatumbo presentan ICM tri-canal muy homogéneo (0.337–0.354), el subcaso de menor dispersión. El Capitán Chaparro (ICM=0.337) ejemplifica la disociación léxico-semántica analizada en §5.13: su discurso es gramaticalmente directo pero semánticamente el más distante del lenguaje de las víctimas. Castro Gómez destaca por el mayor canal verbal del subcaso (REP=0.611). Catatumbo, primera audiencia de reconocimiento del Macrocaso 003 (abril 2022), presenta además el AU15 más alto del corpus, coherente con la intensidad emocional singular de ese primer encuentro público con las víctimas.</w:t>
      </w:r>
    </w:p>
    <w:p>
      <w:pPr>
        <w:spacing w:after="200" w:line="360" w:lineRule="auto"/>
        <w:jc w:val="both"/>
      </w:pPr>
      <w:r>
        <w:rPr>
          <w:rFonts w:ascii="Times New Roman" w:cs="Times New Roman" w:eastAsia="Times New Roman" w:hAnsi="Times New Roman"/>
          <w:b/>
          <w:sz w:val="24"/>
          <w:szCs w:val="24"/>
        </w:rPr>
        <w:t xml:space="preserve">Dabeiba (12 comparecientes). </w:t>
      </w:r>
      <w:r>
        <w:rPr>
          <w:rFonts w:ascii="Times New Roman" w:cs="Times New Roman" w:eastAsia="Times New Roman" w:hAnsi="Times New Roman"/>
          <w:sz w:val="24"/>
          <w:szCs w:val="24"/>
        </w:rPr>
        <w:t xml:space="preserve">Dabeiba presenta una de las mayores dispersiones del corpus (ICM de 0.242 a 0.498). Varios comparecientes con alto distress facial —Contreras (0.765) y Arenas (0.732)— elevan el extremo superior, mientras otros con expresión facial contenida ocupan el inferior. Esta heterogeneidad matiza la lectura previa que atribuía a Dabeiba una congruencia uniformemente alta: la materialidad del acto de reconocimiento en este subcaso —los comparecientes guiaron a los investigadores a 49 fosas del cementerio Las Mercedes— coexiste con perfiles multimodales individuales diversos. Cuatro comparecientes del subcaso se clasifican como robustez mínima por evidencia escasa en algún canal.</w:t>
      </w:r>
    </w:p>
    <w:p>
      <w:pPr>
        <w:spacing w:after="200" w:line="360" w:lineRule="auto"/>
        <w:jc w:val="both"/>
      </w:pPr>
      <w:r>
        <w:rPr>
          <w:rFonts w:ascii="Times New Roman" w:cs="Times New Roman" w:eastAsia="Times New Roman" w:hAnsi="Times New Roman"/>
          <w:b/>
          <w:sz w:val="24"/>
          <w:szCs w:val="24"/>
        </w:rPr>
        <w:t xml:space="preserve">Huila (26 comparecientes). </w:t>
      </w:r>
      <w:r>
        <w:rPr>
          <w:rFonts w:ascii="Times New Roman" w:cs="Times New Roman" w:eastAsia="Times New Roman" w:hAnsi="Times New Roman"/>
          <w:sz w:val="24"/>
          <w:szCs w:val="24"/>
        </w:rPr>
        <w:t xml:space="preserve">Huila es el subcaso más numeroso (26 comparecientes) y el de mayor dispersión (ICM de 0.243 a 0.579), que contiene tanto el valor más alto del corpus (Hernando Méndez, 0.579) como uno de los más bajos (Aris Ramírez, 0.243). Es también el subcaso semánticamente más cercano al lenguaje de las víctimas a nivel agregado. Destacan comparecientes con alto canal verbal reparador —Riveros Sarmiento (REP=0.769), Arias Sánchez (0.665), Aguilera Quintero (0.564)— cuyo ICM, sin embargo, queda modulado por sus canales no verbales. La amplitud del rango confirma que en Huila la congruencia multimodal es estrictamente individual y no se deja resumir por el subcaso.</w:t>
      </w:r>
    </w:p>
    <w:p>
      <w:pPr>
        <w:spacing w:after="200" w:line="360" w:lineRule="auto"/>
        <w:jc w:val="both"/>
      </w:pPr>
      <w:r>
        <w:rPr>
          <w:rFonts w:ascii="Times New Roman" w:cs="Times New Roman" w:eastAsia="Times New Roman" w:hAnsi="Times New Roman"/>
          <w:b/>
          <w:sz w:val="24"/>
          <w:szCs w:val="24"/>
        </w:rPr>
        <w:t xml:space="preserve">Costa Caribe (5 comparecientes). </w:t>
      </w:r>
      <w:r>
        <w:rPr>
          <w:rFonts w:ascii="Times New Roman" w:cs="Times New Roman" w:eastAsia="Times New Roman" w:hAnsi="Times New Roman"/>
          <w:sz w:val="24"/>
          <w:szCs w:val="24"/>
        </w:rPr>
        <w:t xml:space="preserve">Los cinco comparecientes de Costa Caribe (Batallón La Popa) presentan ICM entre 0.345 y 0.436, con cobertura facial y vocal completa tras la reextracción homogénea del canal facial (5.396 frames). Gómez Naranjo se marca como robustez mínima por evidencia facial escasa. La incorporación plena de Costa Caribe completa el Corpus C en los cinco subcasos para el análisis multimodal.</w:t>
      </w:r>
    </w:p>
    <w:p>
      <w:pPr>
        <w:pStyle w:val="Heading2"/>
        <w:spacing w:before="240" w:after="120"/>
      </w:pPr>
      <w:r>
        <w:rPr>
          <w:rFonts w:ascii="Times New Roman" w:cs="Times New Roman" w:eastAsia="Times New Roman" w:hAnsi="Times New Roman"/>
          <w:b/>
          <w:sz w:val="26"/>
          <w:szCs w:val="26"/>
        </w:rPr>
        <w:t xml:space="preserve">5.12 Capa 3 — Disociación de canales como patrón estructural</w:t>
      </w:r>
    </w:p>
    <w:p>
      <w:pPr>
        <w:spacing w:after="200" w:line="360" w:lineRule="auto"/>
        <w:jc w:val="both"/>
      </w:pPr>
      <w:r>
        <w:rPr>
          <w:rFonts w:ascii="Times New Roman" w:cs="Times New Roman" w:eastAsia="Times New Roman" w:hAnsi="Times New Roman"/>
          <w:b/>
          <w:sz w:val="24"/>
          <w:szCs w:val="24"/>
        </w:rPr>
        <w:t xml:space="preserve">El reconocimiento como fenómeno multidimensional. </w:t>
      </w:r>
      <w:r>
        <w:rPr>
          <w:rFonts w:ascii="Times New Roman" w:cs="Times New Roman" w:eastAsia="Times New Roman" w:hAnsi="Times New Roman"/>
          <w:sz w:val="24"/>
          <w:szCs w:val="24"/>
        </w:rPr>
        <w:t xml:space="preserve">El análisis individual confirma y profundiza el hallazgo central de la Capa 3: la disociación entre canales discursivos es el patrón estructural dominante de las audiencias de reconocimiento. En ningún compareciente los tres canales apuntan uniformemente en la misma dirección. Esta disociación adopta formas distintas: divergencia vocal-facial (paradigmáticamente Torres Escalante, Δ=0.278), disociación léxico-semántica (Chaparro, que usa el vocabulario de las víctimas en superficie pero permanece distante en el embedding profundo), o canal verbal reparador alto con canales no verbales contenidos (Aguilera, Riveros). La existencia de estos perfiles heterogéneos —imposibles de detectar con un único canal— valida metodológicamente la arquitectura tri-canal del ICM y, más ampliamente, la arquitectura multi-capa del framework CFH: un análisis monomodal habría producido conclusiones empobrecidas o erróneas sobre la naturaleza del reconocimiento en la justicia transicional.</w:t>
      </w:r>
    </w:p>
    <w:p>
      <w:pPr>
        <w:pStyle w:val="Heading2"/>
        <w:spacing w:before="240" w:after="120"/>
      </w:pPr>
      <w:r>
        <w:rPr>
          <w:rFonts w:ascii="Times New Roman" w:cs="Times New Roman" w:eastAsia="Times New Roman" w:hAnsi="Times New Roman"/>
          <w:b/>
          <w:sz w:val="26"/>
          <w:szCs w:val="26"/>
        </w:rPr>
        <w:t xml:space="preserve">5.13 Índice de Injusticia Epistémica (IEI) y comparación con el DIS Score</w:t>
      </w:r>
    </w:p>
    <w:p>
      <w:pPr>
        <w:spacing w:after="200" w:line="360" w:lineRule="auto"/>
        <w:jc w:val="both"/>
      </w:pPr>
      <w:r>
        <w:rPr>
          <w:rFonts w:ascii="Times New Roman" w:cs="Times New Roman" w:eastAsia="Times New Roman" w:hAnsi="Times New Roman"/>
          <w:b/>
          <w:sz w:val="24"/>
          <w:szCs w:val="24"/>
        </w:rPr>
        <w:t xml:space="preserve">Definición del IEI. </w:t>
      </w:r>
      <w:r>
        <w:rPr>
          <w:rFonts w:ascii="Times New Roman" w:cs="Times New Roman" w:eastAsia="Times New Roman" w:hAnsi="Times New Roman"/>
          <w:sz w:val="24"/>
          <w:szCs w:val="24"/>
        </w:rPr>
        <w:t xml:space="preserve">El Índice de Injusticia Epistémica (IEI) operacionaliza el marco de Fricker (2007) con los indicadores disponibles: distancia semántica al léxico de las víctimas (y₈ MAFAPO, peso 0.35), distancia a estándares de derechos humanos (y₉ CIDH, peso 0.20), déficit de credibilidad léxico (y₄ NV, peso 0.25) y ausencia de expansión hermenéutica (1−y₁₀ REP, peso 0.20). Mientras el DIS Score mide la injusticia discursiva en sentido gramatical y léxico, el IEI mide si el proceso dialógico de las audiencias corrige la injusticia hermenéutica de las víctimas, operacionalizada como convergencia semántica hacia su léxico.</w:t>
      </w:r>
    </w:p>
    <w:tbl>
      <w:tblPr>
        <w:tblW w:w="75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1300"/>
        <w:gridCol w:w="1300"/>
        <w:gridCol w:w="1700"/>
        <w:gridCol w:w="15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Δ |DIS−IEI|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Patrón</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0.110</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0.624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0.514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IEI&gt;DIS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0.081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0.231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0.233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bl>
    <w:p>
      <w:pPr>
        <w:spacing w:after="160" w:line="360" w:lineRule="auto"/>
        <w:jc w:val="both"/>
      </w:pPr>
      <w:r>
        <w:rPr>
          <w:rFonts w:ascii="Times New Roman" w:cs="Times New Roman" w:eastAsia="Times New Roman" w:hAnsi="Times New Roman"/>
          <w:i/>
          <w:sz w:val="20"/>
          <w:szCs w:val="20"/>
        </w:rPr>
        <w:t xml:space="preserve">Tabla 5.14. DIS Score (η₁, injusticia discursiva) vs. IEI (η₂, injusticia epistémica) por subcaso, Corpus C. DIS = 0.35·y₂ + 0.35·y₄ + 0.30·(1−y₁₀). IEI = 0.35·y₈ + 0.20·y₉ + 0.25·y₄ + 0.20·(1−y₁₀). Mayor valor = mayor injusticia. Verde: caso paradigmático de disociación (Catatumbo).</w:t>
      </w:r>
    </w:p>
    <w:p>
      <w:pPr>
        <w:spacing w:after="200" w:line="360" w:lineRule="auto"/>
        <w:jc w:val="both"/>
      </w:pPr>
      <w:r>
        <w:rPr>
          <w:rFonts w:ascii="Times New Roman" w:cs="Times New Roman" w:eastAsia="Times New Roman" w:hAnsi="Times New Roman"/>
          <w:b/>
          <w:sz w:val="24"/>
          <w:szCs w:val="24"/>
        </w:rPr>
        <w:t xml:space="preserve">Disociación DIS-IEI. </w:t>
      </w:r>
      <w:r>
        <w:rPr>
          <w:rFonts w:ascii="Times New Roman" w:cs="Times New Roman" w:eastAsia="Times New Roman" w:hAnsi="Times New Roman"/>
          <w:sz w:val="24"/>
          <w:szCs w:val="24"/>
        </w:rPr>
        <w:t xml:space="preserve">El hallazgo central de la comparación es que los dos índices pueden disociarse, y la disociación tiene un caso paradigmático: Catatumbo (Δ=0.514). El Capitán Chaparro exhibe la menor injusticia discursiva del corpus (DIS=0.110 — menor SA, menor NV) pero la mayor injusticia epistémica (IEI=0.624 — máxima distancia semántica a MAFAPO). Reducir la injusticia gramatical y léxica no garantiza adoptar los recursos hermenéuticos de las víctimas. En términos de Fricker (2007), Chaparro corrige la injusticia testimonial —cede autoridad gramatical, habla en primera persona activa, reduce la negación de victimización— pero mantiene la injusticia hermenéutica: su léxico permanece distante del que las víctimas usaron para nombrar su experiencia.</w:t>
      </w:r>
    </w:p>
    <w:p>
      <w:pPr>
        <w:spacing w:after="200" w:line="360" w:lineRule="auto"/>
        <w:jc w:val="both"/>
      </w:pPr>
      <w:r>
        <w:rPr>
          <w:rFonts w:ascii="Times New Roman" w:cs="Times New Roman" w:eastAsia="Times New Roman" w:hAnsi="Times New Roman"/>
          <w:b/>
          <w:sz w:val="24"/>
          <w:szCs w:val="24"/>
        </w:rPr>
        <w:t xml:space="preserve">Coherencia y disociación por subcaso. </w:t>
      </w:r>
      <w:r>
        <w:rPr>
          <w:rFonts w:ascii="Times New Roman" w:cs="Times New Roman" w:eastAsia="Times New Roman" w:hAnsi="Times New Roman"/>
          <w:sz w:val="24"/>
          <w:szCs w:val="24"/>
        </w:rPr>
        <w:t xml:space="preserve">Casanare (Torres Escalante) presenta coherencia negativa: alto DIS (0.808) y alto IEI (0.517), el único subcaso donde ambos tipos de injusticia son simultáneamente elevados. Huila presenta el mejor perfil bi-índice (DIS=0.228, IEI=0.081), como subcaso semánticamente más cercano al léxico de las víctimas. Dabeiba muestra disociación DIS&gt;IEI (0.490 vs 0.299): adoptó el léxico de las víctimas más que la gramática de la responsabilidad. La comparación DIS-IEI sostiene la proposición empírica más original del análisis: en el proceso dialógico de la JEP, la corrección de la injusticia discursiva y la de la injusticia epistémica son fenómenos parcialmente independientes, que pueden avanzar a ritmos y en direcciones distintas.</w:t>
      </w:r>
    </w:p>
    <w:p>
      <w:pPr>
        <w:spacing w:after="200" w:line="360" w:lineRule="auto"/>
        <w:jc w:val="both"/>
      </w:pPr>
      <w:r>
        <w:rPr>
          <w:rFonts w:ascii="Times New Roman" w:cs="Times New Roman" w:eastAsia="Times New Roman" w:hAnsi="Times New Roman"/>
          <w:b/>
          <w:sz w:val="24"/>
          <w:szCs w:val="24"/>
        </w:rPr>
        <w:t xml:space="preserve">Robustez. </w:t>
      </w:r>
      <w:r>
        <w:rPr>
          <w:rFonts w:ascii="Times New Roman" w:cs="Times New Roman" w:eastAsia="Times New Roman" w:hAnsi="Times New Roman"/>
          <w:sz w:val="24"/>
          <w:szCs w:val="24"/>
        </w:rPr>
        <w:t xml:space="preserve">La robustez de los valores DIS e IEI se verificó mediante análisis de sensibilidad de pesos: la condición IEI&gt;DIS de Catatumbo se mantiene en el 100% de 141 combinaciones de pesos plausibles, y su condición de máxima disociación en el 85%. El hallazgo no es un artefacto de la especificación de pesos.</w:t>
      </w:r>
    </w:p>
    <w:p>
      <w:pPr>
        <w:pStyle w:val="Heading2"/>
        <w:spacing w:before="240" w:after="120"/>
      </w:pPr>
      <w:r>
        <w:rPr>
          <w:rFonts w:ascii="Times New Roman" w:cs="Times New Roman" w:eastAsia="Times New Roman" w:hAnsi="Times New Roman"/>
          <w:b/>
          <w:sz w:val="26"/>
          <w:szCs w:val="26"/>
        </w:rPr>
        <w:t xml:space="preserve">5.14 Indicadores Beach (2021): registro léxico, verbos atributivos y evidenciales</w:t>
      </w:r>
    </w:p>
    <w:p>
      <w:pPr>
        <w:spacing w:after="200" w:line="360" w:lineRule="auto"/>
        <w:jc w:val="both"/>
      </w:pPr>
      <w:r>
        <w:rPr>
          <w:rFonts w:ascii="Times New Roman" w:cs="Times New Roman" w:eastAsia="Times New Roman" w:hAnsi="Times New Roman"/>
          <w:b/>
          <w:sz w:val="24"/>
          <w:szCs w:val="24"/>
        </w:rPr>
        <w:t xml:space="preserve">Indicadores léxico-sintácticos. </w:t>
      </w:r>
      <w:r>
        <w:rPr>
          <w:rFonts w:ascii="Times New Roman" w:cs="Times New Roman" w:eastAsia="Times New Roman" w:hAnsi="Times New Roman"/>
          <w:sz w:val="24"/>
          <w:szCs w:val="24"/>
        </w:rPr>
        <w:t xml:space="preserve">Los tres indicadores de Beach et al. (2021) —quotes/registro léxico (y₁₁), verbos atributivos (y₁₂) y evidenciales (y₁₃)— operacionalizan la injusticia testimonial en el nivel léxico-sintáctico, complementando los indicadores semánticos y₈/y₉. Los tres son estadísticamente significativos entre Corpus A y B (p&lt;0.001, Mann-Whitney U bilateral). El hallazgo más robusto es y₁₂ verbos atributivos: A=0.270 vs B=0.058 (4,6× mayor en la justicia ordinaria), que usa significativamente más verbos de baja credibilidad —«alegó», «adujo», «supuestamente»— para referirse a las declaraciones de las víctimas, incorporando el descuento de credibilidad directamente en la gramática del relato judicial.</w:t>
      </w:r>
    </w:p>
    <w:p>
      <w:pPr>
        <w:spacing w:after="200" w:line="360" w:lineRule="auto"/>
        <w:jc w:val="both"/>
      </w:pPr>
      <w:r>
        <w:rPr>
          <w:rFonts w:ascii="Times New Roman" w:cs="Times New Roman" w:eastAsia="Times New Roman" w:hAnsi="Times New Roman"/>
          <w:b/>
          <w:sz w:val="24"/>
          <w:szCs w:val="24"/>
        </w:rPr>
        <w:t xml:space="preserve">Disociación léxico-semántica en Catatumbo. </w:t>
      </w:r>
      <w:r>
        <w:rPr>
          <w:rFonts w:ascii="Times New Roman" w:cs="Times New Roman" w:eastAsia="Times New Roman" w:hAnsi="Times New Roman"/>
          <w:sz w:val="24"/>
          <w:szCs w:val="24"/>
        </w:rPr>
        <w:t xml:space="preserve">Para el Corpus C oral, y₁₁ se operacionaliza como registro léxico MAFAPO frente a militar, dado que las transcripciones automáticas no preservan marcadores tipográficos de cita. Los resultados revelan una disociación de dos niveles en Catatumbo: el Capitán Chaparro usa vocabulario del campo semántico de las víctimas en superficie (proporción MAFAPO=0.736, el segundo más alto) pero su discurso, medido a nivel de embedding profundo, permanece el más distante del centroide MAFAPO (y₈=0.207). Adopta el vocabulario superficial de los recursos hermenéuticos de las víctimas sin adoptar su estructura semántica subyacente. Esta disociación léxico-semántica es el hallazgo más sofisticado del análisis verbal del Corpus C, y refuerza por una vía independiente la disociación DIS-IEI documentada en §5.13.</w:t>
      </w:r>
    </w:p>
    <w:p>
      <w:pPr>
        <w:pStyle w:val="Heading2"/>
        <w:spacing w:before="240" w:after="120"/>
      </w:pPr>
      <w:r>
        <w:rPr>
          <w:rFonts w:ascii="Times New Roman" w:cs="Times New Roman" w:eastAsia="Times New Roman" w:hAnsi="Times New Roman"/>
          <w:b/>
          <w:sz w:val="26"/>
          <w:szCs w:val="26"/>
        </w:rPr>
        <w:t xml:space="preserve">5.15 Integración del canal verbal en el ICM</w:t>
      </w:r>
    </w:p>
    <w:p>
      <w:pPr>
        <w:spacing w:after="200" w:line="360" w:lineRule="auto"/>
        <w:jc w:val="both"/>
      </w:pPr>
      <w:r>
        <w:rPr>
          <w:rFonts w:ascii="Times New Roman" w:cs="Times New Roman" w:eastAsia="Times New Roman" w:hAnsi="Times New Roman"/>
          <w:b/>
          <w:sz w:val="24"/>
          <w:szCs w:val="24"/>
        </w:rPr>
        <w:t xml:space="preserve">El canal verbal como proporción reparadora. </w:t>
      </w:r>
      <w:r>
        <w:rPr>
          <w:rFonts w:ascii="Times New Roman" w:cs="Times New Roman" w:eastAsia="Times New Roman" w:hAnsi="Times New Roman"/>
          <w:sz w:val="24"/>
          <w:szCs w:val="24"/>
        </w:rPr>
        <w:t xml:space="preserve">El canal verbal del ICM se opera mediante el indicador REP (y₁₀) como proporción del discurso reparador, una reformulación que aísla la disposición reparadora del compareciente del factor exógeno de la duración de su intervención —determinada institucionalmente por la JEP, no por el compareciente. Esta operacionalización reconoce que la corrección hermenéutica tiene dos dimensiones potencialmente disociables: la adopción del vocabulario de las víctimas en superficie (capturada por los indicadores Beach) y la adopción de su estructura semántica profunda (capturada por la distancia de embedding y₈). El caso de Chaparro en Catatumbo muestra que ambas pueden divergir, lo que justifica mantener el canal verbal con un peso moderado (0.20) dentro del ICM: es informativo, pero su contenido semántico ya queda parcialmente capturado por los índices DIS e IEI.</w:t>
      </w:r>
    </w:p>
    <w:p>
      <w:pPr>
        <w:pStyle w:val="Heading2"/>
        <w:spacing w:before="240" w:after="120"/>
      </w:pPr>
      <w:r>
        <w:rPr>
          <w:rFonts w:ascii="Times New Roman" w:cs="Times New Roman" w:eastAsia="Times New Roman" w:hAnsi="Times New Roman"/>
          <w:b/>
          <w:sz w:val="26"/>
          <w:szCs w:val="26"/>
        </w:rPr>
        <w:t xml:space="preserve">5.16 Validación de robustez de los pesos del ICM tri-canal</w:t>
      </w:r>
    </w:p>
    <w:p>
      <w:pPr>
        <w:spacing w:after="200" w:line="360" w:lineRule="auto"/>
        <w:jc w:val="both"/>
      </w:pPr>
      <w:r>
        <w:rPr>
          <w:rFonts w:ascii="Times New Roman" w:cs="Times New Roman" w:eastAsia="Times New Roman" w:hAnsi="Times New Roman"/>
          <w:b/>
          <w:sz w:val="24"/>
          <w:szCs w:val="24"/>
        </w:rPr>
        <w:t xml:space="preserve">Procedimiento. </w:t>
      </w:r>
      <w:r>
        <w:rPr>
          <w:rFonts w:ascii="Times New Roman" w:cs="Times New Roman" w:eastAsia="Times New Roman" w:hAnsi="Times New Roman"/>
          <w:sz w:val="24"/>
          <w:szCs w:val="24"/>
        </w:rPr>
        <w:t xml:space="preserve">Dado que el ICM compone los tres canales con pesos fijos (0.40 facial / 0.40 vocal / 0.20 verbal), la estabilidad del ordenamiento de comparecientes ante esa elección se evalúa mediante simulación Monte Carlo, coherente con el procedimiento de sensibilidad de pesos aplicado al DIS Score (§5.13). Se generan pesos alternativos y se calcula el coeficiente de concordancia de rangos Kendall τ entre el ranking resultante y el de referencia, con umbral de robustez τ≥0.80. El análisis se realiza en dos modos complementarios sobre 5.000 simulaciones cada uno.</w:t>
      </w:r>
    </w:p>
    <w:tbl>
      <w:tblPr>
        <w:tblW w:w="86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3400"/>
        <w:gridCol w:w="1900"/>
        <w:gridCol w:w="17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Modo / esquema</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Kendall τ</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 sim. τ≥0.80</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Lectura</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Restringido (±0.10 local)</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0.908 (medio)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97.7%</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Completo (todo el simplex)</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0.588 (medio)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facial decisivo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45/45/10 (no verbal)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50/30/20 (facial)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33/33/33 (igual)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0.753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moderado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8"/>
                <w:szCs w:val="18"/>
              </w:rPr>
              <w:t xml:space="preserve">Esquema sin facial (0/60/40)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0.233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reordena</w:t>
            </w:r>
          </w:p>
        </w:tc>
      </w:tr>
    </w:tbl>
    <w:p>
      <w:pPr>
        <w:spacing w:after="160" w:line="360" w:lineRule="auto"/>
        <w:jc w:val="both"/>
      </w:pPr>
      <w:r>
        <w:rPr>
          <w:rFonts w:ascii="Times New Roman" w:cs="Times New Roman" w:eastAsia="Times New Roman" w:hAnsi="Times New Roman"/>
          <w:i/>
          <w:sz w:val="20"/>
          <w:szCs w:val="20"/>
        </w:rPr>
        <w:t xml:space="preserve">Tabla 5.16. Sensibilidad de los pesos del ICM tri-canal (Monte Carlo, 5.000 simulaciones por modo; Kendall τ vs. ranking de referencia 0.40/0.40/0.20). Verde: robustez ante variaciones razonables. Ámbar: la eliminación del canal facial reordena el ranking, lo que revela su carácter informativo.</w:t>
      </w:r>
    </w:p>
    <w:p>
      <w:pPr>
        <w:spacing w:after="200" w:line="360" w:lineRule="auto"/>
        <w:jc w:val="both"/>
      </w:pPr>
      <w:r>
        <w:rPr>
          <w:rFonts w:ascii="Times New Roman" w:cs="Times New Roman" w:eastAsia="Times New Roman" w:hAnsi="Times New Roman"/>
          <w:b/>
          <w:sz w:val="24"/>
          <w:szCs w:val="24"/>
        </w:rPr>
        <w:t xml:space="preserve">Resultados. </w:t>
      </w:r>
      <w:r>
        <w:rPr>
          <w:rFonts w:ascii="Times New Roman" w:cs="Times New Roman" w:eastAsia="Times New Roman" w:hAnsi="Times New Roman"/>
          <w:sz w:val="24"/>
          <w:szCs w:val="24"/>
        </w:rPr>
        <w:t xml:space="preserve">Bajo perturbación local de los pesos (±0.10 alrededor de la referencia, variaciones metodológicamente plausibles), el 97,7% de las simulaciones mantiene τ≥0.80, con τ medio de 0.908: el ordenamiento de comparecientes es robusto a la elección razonable de pesos. Bajo exploración del espacio completo de pesos, la concordancia desciende (15,7%), lo que revela que el canal facial es el más informativo del índice: su eliminación reordena sustancialmente el ranking (τ=0.233), mientras que los esquemas que lo conservan con peso sustancial permanecen robustos (τ&gt;0.85). Esta doble caracterización valida empíricamente tanto la inclusión del canal facial como el peso reducido del canal verbal (τ=0.705 al eliminarlo), coherente con su carácter de proxy indirecto ya capturado en los índices DIS e IEI. Los pesos 0.40/0.40/0.20 se ubican, por tanto, en la región estable del espacio de configuraciones.</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 El análisis de tamaño de efecto (Cohen's d, N_B=214) confirma la magnitud sustantiva de los hallazgos: y₁₀ REP muestra el efecto más grande (d=0.514, p&lt;0.001), el DIS sintético (d=0.335, p&lt;0.001) e y₂ SA (d=0.257, p=0.023) presentan efectos medianos según la escala de Cohen (1988). El único indicador no significativo es y₄ NV (d=0.324, p=0.354 n.s.), explicado por el metalenguaje citativo del Corpus B (§6.1.4).</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El análisis individual del Corpus C (Tabla 5.10) permite una comparación sistemática entre comparecientes que ningún análisis agregado por subcaso puede ofrecer. El hallazgo más relevante para la teoría de la justicia transicional es que la congruencia multimodal es un atributo individual: dentro de un mismo subcaso conviven perfiles multimodales muy diversos. Catatumbo —la primera audiencia del Macrocaso 003, descrita como catarsis colectiva— presenta el perfil de mayor tensión entre gramática directa y distancia semántica de las víctimas, mientras la materialidad del reconocimiento en Dabeiba (49 fosas del cementerio Las Mercedes) coexiste con perfiles individuales heterogéneos.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Un hallazgo robusto del análisis individual es el perfil de Torres Escalante (Casanare): presenta la mayor sonrisa (AU12) y el menor ceño (AU4) entre los comparecientes con buena detección, un patrón facial contenido que contrasta marcadamente con su canal vocal —el más alto del corpus. El General Torres Escalante es el compareciente de mayor rango del corpus, con mayor experiencia en comunicación institucional. En el otro extremo, varios comparecientes de Huila y Dabeiba presentan alto distress facial (AU4 elevado) con baja sonrisa.</w:t>
      </w:r>
    </w:p>
    <w:p>
      <w:pPr>
        <w:spacing w:after="200" w:line="360" w:lineRule="auto"/>
        <w:ind w:firstLine="720"/>
        <w:jc w:val="both"/>
      </w:pPr>
      <w:r>
        <w:rPr>
          <w:sz w:val="24"/>
          <w:szCs w:val="24"/>
        </w:rPr>
        <w:t xml:space="preserve">El canal prosódico (ICM vocal) confirma y matiza el hallazgo facial. El caso de Torres Escalante (Casanare) constituye el hallazgo más interpretativo de la Capa 3: su canal vocal es el más alto del corpus (0.624, con el shimmer más elevado, indicando alta carga emocional prosódica) mientras su canal facial es comparativamente bajo (0.346). Esta divergencia entre los dos canales no verbales (Δ=0.278) es la mayor del corpus: la voz comunica distress prosódico mientras el rostro mantiene una expresión contenida. Los dos canales apuntan en direcciones opuestas —una incongruencia entre canales no verbales que ningún análisis monomodal podría capturar.</w:t>
      </w:r>
    </w:p>
    <w:p>
      <w:pPr>
        <w:spacing w:after="200" w:line="360" w:lineRule="auto"/>
        <w:ind w:firstLine="720"/>
        <w:jc w:val="both"/>
      </w:pPr>
      <w:r>
        <w:rPr>
          <w:sz w:val="24"/>
          <w:szCs w:val="24"/>
        </w:rPr>
        <w:t xml:space="preserve">El ICM tri-canal (0.40·facial + 0.40·vocal + 0.20·verbal), calculado a nivel individual del compareciente, revela que la congruencia multimodal es un atributo del compareciente y no del subcaso: la dispersión intra-subcaso es sustancial y, en Huila y Dabeiba, supera las diferencias entre las medias de los subcasos. El Capitán Chaparro (Catatumbo) ejemplifica la disociación léxico-semántica: pese a un perfil facial-vocal relativamente congruente, su canal verbal es el más distante del lenguaje de MAFAPO (y₈=0.207) —habla en la audiencia con el mayor distanciamiento semántico respecto al lenguaje de las víctimas, el canal que más importa para la reparación simbólica. La validación de robustez de los pesos (§5.16) confirma que el ordenamiento de comparecientes es estable ante variaciones razonables de la ponderación.</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(Torres Escalante) presenta el perfil de mayor distancia discursiva multi-indicador: mayor y₂ SA (0.974), mayor y₄ NV (0.483). La voz comunica distress prosódico alto (el shimmer mayor del corpus) mientras la cara comunica una expresión contenida (AU12 alto, AU4 bajo) — los canales no verbales apuntan en direcciones opuestas (Δ vocal-facial=0.278, la mayor del corpus).
Catatumbo (Capitán Chaparro) produce el hallazgo más contraintuitivo: menor y₂ SA (0.532) y menor y₄ NV (0.220) — el discurso más gramaticalmente directo y con menor negación de victimización — pero su canal semántico es el más distante del lenguaje de MAFAPO (y₈=0.207). Habla directamente pero habla lejos de las víctimas.
Dabeiba (12 comparecientes) presenta una de las mayores dispersiones individuales del corpus (ICM de 0.242 a 0.498) y baja distancia MAFAPO (y₈=0.189). La materialidad del reconocimiento —49 fosas físicamente recuperadas en el cementerio Las Mercedes— coexiste con perfiles multimodales individuales diversos, lo que matiza una lectura uniforme del subcaso.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La tasa de detección facial varía entre comparecientes, lo que se incorpora explícitamente a la marca de robustez individual (sólido / mínimo): los comparecientes con evidencia escasa en algún canal se señalan como robustez mínima para transparencia metodológica. Costa Caribe (subcaso La Popa, julio 2022) fue incorporado plenamente al análisis con el canal facial reextraído de forma homogénea (5.396 frames), completando el Corpus C en los cinco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rFonts w:ascii="Times New Roman" w:cs="Times New Roman" w:eastAsia="Times New Roman" w:hAnsi="Times New Roman"/>
          <w:b/>
          <w:sz w:val="24"/>
          <w:szCs w:val="24"/>
        </w:rPr>
        <w:t xml:space="preserve">Supresión de Action Units bucales por el habla. </w:t>
      </w:r>
      <w:r>
        <w:rPr>
          <w:rFonts w:ascii="Times New Roman" w:cs="Times New Roman" w:eastAsia="Times New Roman" w:hAnsi="Times New Roman"/>
          <w:sz w:val="24"/>
          <w:szCs w:val="24"/>
        </w:rPr>
        <w:t xml:space="preserve">El análisis de la composición del distress facial (§5.9) reveló un comportamiento que enriquece la interpretación del canal facial en contextos forenses orales: las Action Units de la región bucal (AU15, AU17) muestran supresión sistemática durante el habla —AU17 desciende cerca del 80% en los frames de habla activa—, mientras AU4 (ceño), independiente del aparato fonador, permanece como el indicador de distress más estable. Esto implica que, en audiencias donde los comparecientes hablan de forma continua, la señal facial de distress se concentra en la región frontal. Lejos de invalidar la medición, este hallazgo precisa su alcance y constituye una contribución metodológica al análisis facial multimodal en escenarios de habla.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reextraído de forma homogénea con MediaPipe FaceLandmarker (5.396 frames), completando el Corpus C en los cinco subcasos. En cuanto a la normalización, el ICM tri-canal adopta un criterio diferenciado por canal según su naturaleza de medición: el canal facial se normaliza por z-score comparativo sobre el corpus (coherente con el carácter relativo de los Action Units), el vocal mediante una escala fija anclada en valores de referencia de la literatura —independiente de la composición de la muestra— y el verbal como proporción del discurso reparador. Este diseño evita que el índice dependa de los percentiles internos de la muestra y fortalece su reproducibilidad. La comparabilidad estricta con corpus externos, no obstante, requiere validación adicional de transferibilidad (Camara et al., 2024).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análisis complementario de Cohen's d (N_B=214) reporta efectos medianos para los indicadores principales (REP d=0.514, DIS d=0.335), lo que proporciona una medida de la magnitud práctica de los hallazgos independiente de los supuestos de independencia del Mann-Whitney U.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 Dos validaciones complementarias del ICM se plantean como trabajo futuro, no como requisito de la presente investigación. Primera, la validación perceptual: la correlación entre el ICM calculado y la percepción humana de congruencia comunicativa —la coherencia entre lo que el compareciente dice y cómo lo expresa vocal y facialmente— sobre una muestra de segmentos del Corpus C, siguiendo el procedimiento de Baird y Coutinho (2019); coherentemente con las salvaguardas del índice, esta validación contrasta la congruencia entre canales, no la sinceridad psicológica individual. Segunda, la auditoría intersectional del canal facial conforme al protocolo Gender Shades (Buolamwini y Gebru, 2018), para evaluar si la tasa de detección de MediaPipe FaceLandmarker varía sistemáticamente según el tono de piel o los rasgos étnicos de los comparecientes —una verificación de equidad del instrumento especialmente pertinente en un corpus de comparecientes mestizos y afrocolombianos.</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jc w:val="both"/>
        <w:spacing w:after="160" w:line="340"/>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60" w:before="240"/>
        <w:jc w:val="center"/>
      </w:pPr>
      <w:r>
        <w:rPr>
          <w:rFonts w:ascii="Arial" w:cs="Arial" w:eastAsia="Arial" w:hAnsi="Arial"/>
          <w:i/>
          <w:iCs/>
          <w:color w:val="1F4E79"/>
          <w:sz w:val="22"/>
          <w:szCs w:val="22"/>
        </w:rPr>
        <w:t xml:space="preserve">El lenguaje de los falsos positivos</w:t>
      </w:r>
    </w:p>
    <w:p>
      <w:pPr>
        <w:spacing w:after="280"/>
        <w:jc w:val="center"/>
      </w:pPr>
      <w:r>
        <w:rPr>
          <w:rFonts w:ascii="Arial" w:cs="Arial" w:eastAsia="Arial" w:hAnsi="Arial"/>
          <w:color w:val="666666"/>
          <w:sz w:val="20"/>
          <w:szCs w:val="20"/>
        </w:rPr>
        <w:t xml:space="preserve">Bibliografía consolidada de la tesis · formato APA 7 · 76 referencias</w:t>
      </w:r>
    </w:p>
    <w:p>
      <w:pPr>
        <w:spacing w:after="140" w:line="300"/>
        <w:ind w:left="567" w:hanging="567"/>
        <w:jc w:val="both"/>
      </w:pPr>
      <w:r>
        <w:rPr>
          <w:rFonts w:ascii="Arial" w:cs="Arial" w:eastAsia="Arial" w:hAnsi="Arial"/>
          <w:sz w:val="21"/>
          <w:szCs w:val="21"/>
        </w:rPr>
        <w:t xml:space="preserve">Antoniak, M., Mimno, D., y Howe, J. (2023). Riveter: Measuring power and social dynamics between entities. Proceedings of ACL 2023: System Demonstrations, 377–388. </w:t>
      </w:r>
      <w:r>
        <w:rPr>
          <w:rFonts w:ascii="Arial" w:cs="Arial" w:eastAsia="Arial" w:hAnsi="Arial"/>
          <w:color w:val="2A6099"/>
          <w:sz w:val="21"/>
          <w:szCs w:val="21"/>
        </w:rPr>
        <w:t xml:space="preserve">https://doi.org/10.18653/v1/2023.acl-demo.36</w:t>
      </w:r>
    </w:p>
    <w:p>
      <w:pPr>
        <w:spacing w:after="140" w:line="300"/>
        <w:ind w:left="567" w:hanging="567"/>
        <w:jc w:val="both"/>
      </w:pPr>
      <w:r>
        <w:rPr>
          <w:rFonts w:ascii="Arial" w:cs="Arial" w:eastAsia="Arial" w:hAnsi="Arial"/>
          <w:sz w:val="21"/>
          <w:szCs w:val="21"/>
        </w:rPr>
        <w:t xml:space="preserve">Austin, J. L. (1962). How to do things with words. Oxford University Press.</w:t>
      </w:r>
    </w:p>
    <w:p>
      <w:pPr>
        <w:spacing w:after="140" w:line="300"/>
        <w:ind w:left="567" w:hanging="567"/>
        <w:jc w:val="both"/>
      </w:pPr>
      <w:r>
        <w:rPr>
          <w:rFonts w:ascii="Arial" w:cs="Arial" w:eastAsia="Arial" w:hAnsi="Arial"/>
          <w:sz w:val="21"/>
          <w:szCs w:val="21"/>
        </w:rPr>
        <w:t xml:space="preserve">Baird, A., y Coutinho, E. (2019). Sincerity in acted speech: The Sincere Apology Corpus (SinA-C). Proceedings of INTERSPEECH 2019, 1851–1855. </w:t>
      </w:r>
      <w:r>
        <w:rPr>
          <w:rFonts w:ascii="Arial" w:cs="Arial" w:eastAsia="Arial" w:hAnsi="Arial"/>
          <w:color w:val="2A6099"/>
          <w:sz w:val="21"/>
          <w:szCs w:val="21"/>
        </w:rPr>
        <w:t xml:space="preserve">https://doi.org/10.21437/Interspeech.2019-3072</w:t>
      </w:r>
    </w:p>
    <w:p>
      <w:pPr>
        <w:spacing w:after="140" w:line="300"/>
        <w:ind w:left="567" w:hanging="567"/>
        <w:jc w:val="both"/>
      </w:pPr>
      <w:r>
        <w:rPr>
          <w:rFonts w:ascii="Arial" w:cs="Arial" w:eastAsia="Arial" w:hAnsi="Arial"/>
          <w:sz w:val="21"/>
          <w:szCs w:val="21"/>
        </w:rPr>
        <w:t xml:space="preserve">Barrett, L. F., Adolphs, R., Marsella, S., Martinez, A. M., y Pollak, S. D. (2019). Emotional expressions reconsidered: Challenges to inferring emotion from human facial movements. Psychological Science in the Public Interest, 20(1), 1–68. </w:t>
      </w:r>
      <w:r>
        <w:rPr>
          <w:rFonts w:ascii="Arial" w:cs="Arial" w:eastAsia="Arial" w:hAnsi="Arial"/>
          <w:color w:val="2A6099"/>
          <w:sz w:val="21"/>
          <w:szCs w:val="21"/>
        </w:rPr>
        <w:t xml:space="preserve">https://doi.org/10.1177/1529100619832930</w:t>
      </w:r>
    </w:p>
    <w:p>
      <w:pPr>
        <w:spacing w:after="140" w:line="300"/>
        <w:ind w:left="567" w:hanging="567"/>
        <w:jc w:val="both"/>
      </w:pPr>
      <w:r>
        <w:rPr>
          <w:rFonts w:ascii="Arial" w:cs="Arial" w:eastAsia="Arial" w:hAnsi="Arial"/>
          <w:sz w:val="21"/>
          <w:szCs w:val="21"/>
        </w:rPr>
        <w:t xml:space="preserve">Bhatia, V. K. (1993). Analysing genre: Language use in professional settings. Longman.</w:t>
      </w:r>
    </w:p>
    <w:p>
      <w:pPr>
        <w:spacing w:after="140" w:line="300"/>
        <w:ind w:left="567" w:hanging="567"/>
        <w:jc w:val="both"/>
      </w:pPr>
      <w:r>
        <w:rPr>
          <w:rFonts w:ascii="Arial" w:cs="Arial" w:eastAsia="Arial" w:hAnsi="Arial"/>
          <w:sz w:val="21"/>
          <w:szCs w:val="21"/>
        </w:rPr>
        <w:t xml:space="preserve">Boaventura de Sousa Santos, B. (2009). Una epistemología del Sur: La reinvención del conocimiento y la emancipación social. CLACSO / Siglo XXI.</w:t>
      </w:r>
    </w:p>
    <w:p>
      <w:pPr>
        <w:spacing w:after="140" w:line="300"/>
        <w:ind w:left="567" w:hanging="567"/>
        <w:jc w:val="both"/>
      </w:pPr>
      <w:r>
        <w:rPr>
          <w:rFonts w:ascii="Arial" w:cs="Arial" w:eastAsia="Arial" w:hAnsi="Arial"/>
          <w:sz w:val="21"/>
          <w:szCs w:val="21"/>
        </w:rPr>
        <w:t xml:space="preserve">Braithwaite, J. (2002). Restorative justice and responsive regulation. Oxford University Press.</w:t>
      </w:r>
    </w:p>
    <w:p>
      <w:pPr>
        <w:spacing w:after="140" w:line="300"/>
        <w:ind w:left="567" w:hanging="567"/>
        <w:jc w:val="both"/>
      </w:pPr>
      <w:r>
        <w:rPr>
          <w:rFonts w:ascii="Arial" w:cs="Arial" w:eastAsia="Arial" w:hAnsi="Arial"/>
          <w:sz w:val="21"/>
          <w:szCs w:val="21"/>
        </w:rPr>
        <w:t xml:space="preserve">Bredin, H., Yin, R., Coria, J. M., Gelly, G., Korshunov, P., Lavechin, M., Fustes, D., Titeux, H., Bouaziz, W., y Gill, M.-P. (2020). pyannote.audio: Neural building blocks for speaker diarization. Proceedings of ICASSP 2020, 7124–7128. </w:t>
      </w:r>
      <w:r>
        <w:rPr>
          <w:rFonts w:ascii="Arial" w:cs="Arial" w:eastAsia="Arial" w:hAnsi="Arial"/>
          <w:color w:val="2A6099"/>
          <w:sz w:val="21"/>
          <w:szCs w:val="21"/>
        </w:rPr>
        <w:t xml:space="preserve">https://doi.org/10.1109/ICASSP40776.2020.9052974</w:t>
      </w:r>
    </w:p>
    <w:p>
      <w:pPr>
        <w:spacing w:after="140" w:line="300"/>
        <w:ind w:left="567" w:hanging="567"/>
        <w:jc w:val="both"/>
      </w:pPr>
      <w:r>
        <w:rPr>
          <w:rFonts w:ascii="Arial" w:cs="Arial" w:eastAsia="Arial" w:hAnsi="Arial"/>
          <w:sz w:val="21"/>
          <w:szCs w:val="21"/>
        </w:rPr>
        <w:t xml:space="preserve">Buolamwini, J., y Gebru, T. (2018). Gender shades: Intersectional accuracy disparities in commercial gender classification. Proceedings of Machine Learning Research, 81, 1–15.</w:t>
      </w:r>
    </w:p>
    <w:p>
      <w:pPr>
        <w:spacing w:after="140" w:line="300"/>
        <w:ind w:left="567" w:hanging="567"/>
        <w:jc w:val="both"/>
      </w:pPr>
      <w:r>
        <w:rPr>
          <w:rFonts w:ascii="Arial" w:cs="Arial" w:eastAsia="Arial" w:hAnsi="Arial"/>
          <w:sz w:val="21"/>
          <w:szCs w:val="21"/>
        </w:rPr>
        <w:t xml:space="preserve">Camara, M. K., Postal, A., Maul, T. H., y Paetzold, G. H. (2024). Can lies be faked? Comparing low-stakes and high-stakes deception video datasets from a Machine Learning perspective. Expert Systems with Applications, 249, 123684. </w:t>
      </w:r>
      <w:r>
        <w:rPr>
          <w:rFonts w:ascii="Arial" w:cs="Arial" w:eastAsia="Arial" w:hAnsi="Arial"/>
          <w:color w:val="2A6099"/>
          <w:sz w:val="21"/>
          <w:szCs w:val="21"/>
        </w:rPr>
        <w:t xml:space="preserve">https://doi.org/10.1016/j.eswa.2024.123684</w:t>
      </w:r>
    </w:p>
    <w:p>
      <w:pPr>
        <w:spacing w:after="140" w:line="300"/>
        <w:ind w:left="567" w:hanging="567"/>
        <w:jc w:val="both"/>
      </w:pPr>
      <w:r>
        <w:rPr>
          <w:rFonts w:ascii="Arial" w:cs="Arial" w:eastAsia="Arial" w:hAnsi="Arial"/>
          <w:sz w:val="21"/>
          <w:szCs w:val="21"/>
        </w:rPr>
        <w:t xml:space="preserve">Cañete, J., Chaperon, G., Fuentes, R., Ho, J.-H., Kang, H., y Pérez, J. (2020). Spanish pre-trained BERT model and evaluation data. PML4DC Workshop at ICLR 2020.</w:t>
      </w:r>
    </w:p>
    <w:p>
      <w:pPr>
        <w:spacing w:after="140" w:line="300"/>
        <w:ind w:left="567" w:hanging="567"/>
        <w:jc w:val="both"/>
      </w:pPr>
      <w:r>
        <w:rPr>
          <w:rFonts w:ascii="Arial" w:cs="Arial" w:eastAsia="Arial" w:hAnsi="Arial"/>
          <w:sz w:val="21"/>
          <w:szCs w:val="21"/>
        </w:rPr>
        <w:t xml:space="preserve">Cann, T., et al. (2025). Semantic echo: Measuring convergence of strategic communications toward a reference corpus. EPJ Data Science. (En prensa).</w:t>
      </w:r>
    </w:p>
    <w:p>
      <w:pPr>
        <w:spacing w:after="140" w:line="300"/>
        <w:ind w:left="567" w:hanging="567"/>
        <w:jc w:val="both"/>
      </w:pPr>
      <w:r>
        <w:rPr>
          <w:rFonts w:ascii="Arial" w:cs="Arial" w:eastAsia="Arial" w:hAnsi="Arial"/>
          <w:sz w:val="21"/>
          <w:szCs w:val="21"/>
        </w:rPr>
        <w:t xml:space="preserve">Castillejo-Cuéllar, A. (2016). Poética de lo otro: Para una antropología de la guerra, la soledad y el exilio interno en Colombia. Universidad de los Andes.</w:t>
      </w:r>
    </w:p>
    <w:p>
      <w:pPr>
        <w:spacing w:after="140" w:line="300"/>
        <w:ind w:left="567" w:hanging="567"/>
        <w:jc w:val="both"/>
      </w:pPr>
      <w:r>
        <w:rPr>
          <w:rFonts w:ascii="Arial" w:cs="Arial" w:eastAsia="Arial" w:hAnsi="Arial"/>
          <w:sz w:val="21"/>
          <w:szCs w:val="21"/>
        </w:rPr>
        <w:t xml:space="preserve">Cepeda Castro, I., y Rojas, J. (2008). A las puertas de El Ubérrimo. Debate.</w:t>
      </w:r>
    </w:p>
    <w:p>
      <w:pPr>
        <w:spacing w:after="140" w:line="300"/>
        <w:ind w:left="567" w:hanging="567"/>
        <w:jc w:val="both"/>
      </w:pPr>
      <w:r>
        <w:rPr>
          <w:rFonts w:ascii="Arial" w:cs="Arial" w:eastAsia="Arial" w:hAnsi="Arial"/>
          <w:sz w:val="21"/>
          <w:szCs w:val="21"/>
        </w:rPr>
        <w:t xml:space="preserve">CINEP/Programa por la Paz. (2020). Banco de datos de derechos humanos y violencia política. Centro de Investigación y Educación Popular.</w:t>
      </w:r>
    </w:p>
    <w:p>
      <w:pPr>
        <w:spacing w:after="140" w:line="300"/>
        <w:ind w:left="567" w:hanging="567"/>
        <w:jc w:val="both"/>
      </w:pPr>
      <w:r>
        <w:rPr>
          <w:rFonts w:ascii="Arial" w:cs="Arial" w:eastAsia="Arial" w:hAnsi="Arial"/>
          <w:sz w:val="21"/>
          <w:szCs w:val="21"/>
        </w:rPr>
        <w:t xml:space="preserve">Clark, P. (2010). The Gacaca courts, post-genocide justice and reconciliation in Rwanda. Cambridge University Press.</w:t>
      </w:r>
    </w:p>
    <w:p>
      <w:pPr>
        <w:spacing w:after="140" w:line="300"/>
        <w:ind w:left="567" w:hanging="567"/>
        <w:jc w:val="both"/>
      </w:pPr>
      <w:r>
        <w:rPr>
          <w:rFonts w:ascii="Arial" w:cs="Arial" w:eastAsia="Arial" w:hAnsi="Arial"/>
          <w:sz w:val="21"/>
          <w:szCs w:val="21"/>
        </w:rPr>
        <w:t xml:space="preserve">CNMH — Centro Nacional de Memoria Histórica. (2019). Mujeres y madres: Memorias de los falsos positivos. CNMH.</w:t>
      </w:r>
    </w:p>
    <w:p>
      <w:pPr>
        <w:spacing w:after="140" w:line="300"/>
        <w:ind w:left="567" w:hanging="567"/>
        <w:jc w:val="both"/>
      </w:pPr>
      <w:r>
        <w:rPr>
          <w:rFonts w:ascii="Arial" w:cs="Arial" w:eastAsia="Arial" w:hAnsi="Arial"/>
          <w:sz w:val="21"/>
          <w:szCs w:val="21"/>
        </w:rPr>
        <w:t xml:space="preserve">Comisión de la Verdad. (2022). Hay futuro si hay verdad: Informe final. Comisión para el Esclarecimiento de la Verdad, la Convivencia y la No Repetición.</w:t>
      </w:r>
    </w:p>
    <w:p>
      <w:pPr>
        <w:spacing w:after="140" w:line="300"/>
        <w:ind w:left="567" w:hanging="567"/>
        <w:jc w:val="both"/>
      </w:pPr>
      <w:r>
        <w:rPr>
          <w:rFonts w:ascii="Arial" w:cs="Arial" w:eastAsia="Arial" w:hAnsi="Arial"/>
          <w:sz w:val="21"/>
          <w:szCs w:val="21"/>
        </w:rPr>
        <w:t xml:space="preserve">Crivelli, C., y Fridlund, A. J. (2018). Facial displays are tools for social influence. Trends in Cognitive Sciences, 22(5), 388–399. </w:t>
      </w:r>
      <w:r>
        <w:rPr>
          <w:rFonts w:ascii="Arial" w:cs="Arial" w:eastAsia="Arial" w:hAnsi="Arial"/>
          <w:color w:val="2A6099"/>
          <w:sz w:val="21"/>
          <w:szCs w:val="21"/>
        </w:rPr>
        <w:t xml:space="preserve">https://doi.org/10.1016/j.tics.2018.02.006</w:t>
      </w:r>
    </w:p>
    <w:p>
      <w:pPr>
        <w:spacing w:after="140" w:line="300"/>
        <w:ind w:left="567" w:hanging="567"/>
        <w:jc w:val="both"/>
      </w:pPr>
      <w:r>
        <w:rPr>
          <w:rFonts w:ascii="Arial" w:cs="Arial" w:eastAsia="Arial" w:hAnsi="Arial"/>
          <w:sz w:val="21"/>
          <w:szCs w:val="21"/>
        </w:rPr>
        <w:t xml:space="preserve">Dotson, K. (2011). Tracking epistemic violence, tracking practices of silencing. Hypatia, 26(2), 236–257. </w:t>
      </w:r>
      <w:r>
        <w:rPr>
          <w:rFonts w:ascii="Arial" w:cs="Arial" w:eastAsia="Arial" w:hAnsi="Arial"/>
          <w:color w:val="2A6099"/>
          <w:sz w:val="21"/>
          <w:szCs w:val="21"/>
        </w:rPr>
        <w:t xml:space="preserve">https://doi.org/10.1111/j.1527-2001.2011.01177.x</w:t>
      </w:r>
    </w:p>
    <w:p>
      <w:pPr>
        <w:spacing w:after="140" w:line="300"/>
        <w:ind w:left="567" w:hanging="567"/>
        <w:jc w:val="both"/>
      </w:pPr>
      <w:r>
        <w:rPr>
          <w:rFonts w:ascii="Arial" w:cs="Arial" w:eastAsia="Arial" w:hAnsi="Arial"/>
          <w:sz w:val="21"/>
          <w:szCs w:val="21"/>
        </w:rPr>
        <w:t xml:space="preserve">Dryzek, J. S., y Niemeyer, S. J. (2024). Expressive epistemic injustice: Definition, measurement, and deliberative cure. Political Research Quarterly. </w:t>
      </w:r>
      <w:r>
        <w:rPr>
          <w:rFonts w:ascii="Arial" w:cs="Arial" w:eastAsia="Arial" w:hAnsi="Arial"/>
          <w:color w:val="2A6099"/>
          <w:sz w:val="21"/>
          <w:szCs w:val="21"/>
        </w:rPr>
        <w:t xml:space="preserve">https://doi.org/10.1177/10659129241297272</w:t>
      </w:r>
    </w:p>
    <w:p>
      <w:pPr>
        <w:spacing w:after="140" w:line="300"/>
        <w:ind w:left="567" w:hanging="567"/>
        <w:jc w:val="both"/>
      </w:pPr>
      <w:r>
        <w:rPr>
          <w:rFonts w:ascii="Arial" w:cs="Arial" w:eastAsia="Arial" w:hAnsi="Arial"/>
          <w:sz w:val="21"/>
          <w:szCs w:val="21"/>
        </w:rPr>
        <w:t xml:space="preserve">Ekman, P., Friesen, W. V., y Hager, J. C. (2002). Facial Action Coding System (FACS): The manual on CD-ROM. Research Nexus / A Human Face.</w:t>
      </w:r>
    </w:p>
    <w:p>
      <w:pPr>
        <w:spacing w:after="140" w:line="300"/>
        <w:ind w:left="567" w:hanging="567"/>
        <w:jc w:val="both"/>
      </w:pPr>
      <w:r>
        <w:rPr>
          <w:rFonts w:ascii="Arial" w:cs="Arial" w:eastAsia="Arial" w:hAnsi="Arial"/>
          <w:sz w:val="21"/>
          <w:szCs w:val="21"/>
        </w:rPr>
        <w:t xml:space="preserve">Eyben, F., Scherer, K. R., Schuller, B. W., Sundberg, J., André, E., Busso, C., Devillers, L. Y., Epps, J., Laukka, P., Narayanan, S. S., y Truong, K. P. (2016). The Geneva Minimalistic Acoustic Parameter Set (GeMAPS) for voice research and affective computing. IEEE Transactions on Affective Computing, 7(2), 190–202. </w:t>
      </w:r>
      <w:r>
        <w:rPr>
          <w:rFonts w:ascii="Arial" w:cs="Arial" w:eastAsia="Arial" w:hAnsi="Arial"/>
          <w:color w:val="2A6099"/>
          <w:sz w:val="21"/>
          <w:szCs w:val="21"/>
        </w:rPr>
        <w:t xml:space="preserve">https://doi.org/10.1109/TAFFC.2015.2457417</w:t>
      </w:r>
    </w:p>
    <w:p>
      <w:pPr>
        <w:spacing w:after="140" w:line="300"/>
        <w:ind w:left="567" w:hanging="567"/>
        <w:jc w:val="both"/>
      </w:pPr>
      <w:r>
        <w:rPr>
          <w:rFonts w:ascii="Arial" w:cs="Arial" w:eastAsia="Arial" w:hAnsi="Arial"/>
          <w:sz w:val="21"/>
          <w:szCs w:val="21"/>
        </w:rPr>
        <w:t xml:space="preserve">Fraser, N. (1995). From redistribution to recognition? Dilemmas of justice in a 'post-socialist' age. New Left Review, 212, 68–93.</w:t>
      </w:r>
    </w:p>
    <w:p>
      <w:pPr>
        <w:spacing w:after="140" w:line="300"/>
        <w:ind w:left="567" w:hanging="567"/>
        <w:jc w:val="both"/>
      </w:pPr>
      <w:r>
        <w:rPr>
          <w:rFonts w:ascii="Arial" w:cs="Arial" w:eastAsia="Arial" w:hAnsi="Arial"/>
          <w:sz w:val="21"/>
          <w:szCs w:val="21"/>
        </w:rPr>
        <w:t xml:space="preserve">Fraser, N. (2008). Scales of justice: Reimagining political space in a globalizing world. Columbia University Press.</w:t>
      </w:r>
    </w:p>
    <w:p>
      <w:pPr>
        <w:spacing w:after="140" w:line="300"/>
        <w:ind w:left="567" w:hanging="567"/>
        <w:jc w:val="both"/>
      </w:pPr>
      <w:r>
        <w:rPr>
          <w:rFonts w:ascii="Arial" w:cs="Arial" w:eastAsia="Arial" w:hAnsi="Arial"/>
          <w:sz w:val="21"/>
          <w:szCs w:val="21"/>
        </w:rPr>
        <w:t xml:space="preserve">Fricker, M. (2007). Epistemic injustice: Power and the ethics of knowing. Oxford University Press. </w:t>
      </w:r>
      <w:r>
        <w:rPr>
          <w:rFonts w:ascii="Arial" w:cs="Arial" w:eastAsia="Arial" w:hAnsi="Arial"/>
          <w:color w:val="2A6099"/>
          <w:sz w:val="21"/>
          <w:szCs w:val="21"/>
        </w:rPr>
        <w:t xml:space="preserve">https://doi.org/10.1093/acprof:oso/9780198237907.001.0001</w:t>
      </w:r>
    </w:p>
    <w:p>
      <w:pPr>
        <w:spacing w:after="140" w:line="300"/>
        <w:ind w:left="567" w:hanging="567"/>
        <w:jc w:val="both"/>
      </w:pPr>
      <w:r>
        <w:rPr>
          <w:rFonts w:ascii="Arial" w:cs="Arial" w:eastAsia="Arial" w:hAnsi="Arial"/>
          <w:sz w:val="21"/>
          <w:szCs w:val="21"/>
        </w:rPr>
        <w:t xml:space="preserve">Fricker, M. (2017). Injusticia epistémica (R. García Pérez, Trad.). Herder.</w:t>
      </w:r>
    </w:p>
    <w:p>
      <w:pPr>
        <w:spacing w:after="140" w:line="300"/>
        <w:ind w:left="567" w:hanging="567"/>
        <w:jc w:val="both"/>
      </w:pPr>
      <w:r>
        <w:rPr>
          <w:rFonts w:ascii="Arial" w:cs="Arial" w:eastAsia="Arial" w:hAnsi="Arial"/>
          <w:sz w:val="21"/>
          <w:szCs w:val="21"/>
        </w:rPr>
        <w:t xml:space="preserve">Gadamer, H.-G. (1975). Truth and method. Seabury Press.</w:t>
      </w:r>
    </w:p>
    <w:p>
      <w:pPr>
        <w:spacing w:after="140" w:line="300"/>
        <w:ind w:left="567" w:hanging="567"/>
        <w:jc w:val="both"/>
      </w:pPr>
      <w:r>
        <w:rPr>
          <w:rFonts w:ascii="Arial" w:cs="Arial" w:eastAsia="Arial" w:hAnsi="Arial"/>
          <w:sz w:val="21"/>
          <w:szCs w:val="21"/>
        </w:rPr>
        <w:t xml:space="preserve">Galtung, J. (1969). Violence, peace, and peace research. Journal of Peace Research, 6(3), 167–191. </w:t>
      </w:r>
      <w:r>
        <w:rPr>
          <w:rFonts w:ascii="Arial" w:cs="Arial" w:eastAsia="Arial" w:hAnsi="Arial"/>
          <w:color w:val="2A6099"/>
          <w:sz w:val="21"/>
          <w:szCs w:val="21"/>
        </w:rPr>
        <w:t xml:space="preserve">https://doi.org/10.1177/002234336900600301</w:t>
      </w:r>
    </w:p>
    <w:p>
      <w:pPr>
        <w:spacing w:after="140" w:line="300"/>
        <w:ind w:left="567" w:hanging="567"/>
        <w:jc w:val="both"/>
      </w:pPr>
      <w:r>
        <w:rPr>
          <w:rFonts w:ascii="Arial" w:cs="Arial" w:eastAsia="Arial" w:hAnsi="Arial"/>
          <w:sz w:val="21"/>
          <w:szCs w:val="21"/>
        </w:rPr>
        <w:t xml:space="preserve">Galtung, J. (1990). Cultural violence. Journal of Peace Research, 27(3), 291–305. </w:t>
      </w:r>
      <w:r>
        <w:rPr>
          <w:rFonts w:ascii="Arial" w:cs="Arial" w:eastAsia="Arial" w:hAnsi="Arial"/>
          <w:color w:val="2A6099"/>
          <w:sz w:val="21"/>
          <w:szCs w:val="21"/>
        </w:rPr>
        <w:t xml:space="preserve">https://doi.org/10.1177/0022343390027003005</w:t>
      </w:r>
    </w:p>
    <w:p>
      <w:pPr>
        <w:spacing w:after="140" w:line="300"/>
        <w:ind w:left="567" w:hanging="567"/>
        <w:jc w:val="both"/>
      </w:pPr>
      <w:r>
        <w:rPr>
          <w:rFonts w:ascii="Arial" w:cs="Arial" w:eastAsia="Arial" w:hAnsi="Arial"/>
          <w:sz w:val="21"/>
          <w:szCs w:val="21"/>
        </w:rPr>
        <w:t xml:space="preserve">Garg, N., Schiebinger, L., Jurafsky, D., y Zou, J. (2018). Word embeddings quantify 100 years of gender and ethnic stereotypes. Proceedings of the National Academy of Sciences, 115(16), E3635–E3644. </w:t>
      </w:r>
      <w:r>
        <w:rPr>
          <w:rFonts w:ascii="Arial" w:cs="Arial" w:eastAsia="Arial" w:hAnsi="Arial"/>
          <w:color w:val="2A6099"/>
          <w:sz w:val="21"/>
          <w:szCs w:val="21"/>
        </w:rPr>
        <w:t xml:space="preserve">https://doi.org/10.1073/pnas.1720347115</w:t>
      </w:r>
    </w:p>
    <w:p>
      <w:pPr>
        <w:spacing w:after="140" w:line="300"/>
        <w:ind w:left="567" w:hanging="567"/>
        <w:jc w:val="both"/>
      </w:pPr>
      <w:r>
        <w:rPr>
          <w:rFonts w:ascii="Arial" w:cs="Arial" w:eastAsia="Arial" w:hAnsi="Arial"/>
          <w:sz w:val="21"/>
          <w:szCs w:val="21"/>
        </w:rPr>
        <w:t xml:space="preserve">Gilardi, F., Alizadeh, M., y Kubli, M. (2023). ChatGPT outperforms crowd workers for text-annotation tasks. Proceedings of the National Academy of Sciences, 120(30), e2305016120. </w:t>
      </w:r>
      <w:r>
        <w:rPr>
          <w:rFonts w:ascii="Arial" w:cs="Arial" w:eastAsia="Arial" w:hAnsi="Arial"/>
          <w:color w:val="2A6099"/>
          <w:sz w:val="21"/>
          <w:szCs w:val="21"/>
        </w:rPr>
        <w:t xml:space="preserve">https://doi.org/10.1073/pnas.2305016120</w:t>
      </w:r>
    </w:p>
    <w:p>
      <w:pPr>
        <w:spacing w:after="140" w:line="300"/>
        <w:ind w:left="567" w:hanging="567"/>
        <w:jc w:val="both"/>
      </w:pPr>
      <w:r>
        <w:rPr>
          <w:rFonts w:ascii="Arial" w:cs="Arial" w:eastAsia="Arial" w:hAnsi="Arial"/>
          <w:sz w:val="21"/>
          <w:szCs w:val="21"/>
        </w:rPr>
        <w:t xml:space="preserve">Goupil, L., Ponsot, E., Richardson, D., Reyes, G., y Aucouturier, J.-J. (2021). Listeners' perceptions of certainty and honesty are associated with a common prosodic signature. Nature Communications, 12, 861. </w:t>
      </w:r>
      <w:r>
        <w:rPr>
          <w:rFonts w:ascii="Arial" w:cs="Arial" w:eastAsia="Arial" w:hAnsi="Arial"/>
          <w:color w:val="2A6099"/>
          <w:sz w:val="21"/>
          <w:szCs w:val="21"/>
        </w:rPr>
        <w:t xml:space="preserve">https://doi.org/10.1038/s41467-021-21516-2</w:t>
      </w:r>
    </w:p>
    <w:p>
      <w:pPr>
        <w:spacing w:after="140" w:line="300"/>
        <w:ind w:left="567" w:hanging="567"/>
        <w:jc w:val="both"/>
      </w:pPr>
      <w:r>
        <w:rPr>
          <w:rFonts w:ascii="Arial" w:cs="Arial" w:eastAsia="Arial" w:hAnsi="Arial"/>
          <w:sz w:val="21"/>
          <w:szCs w:val="21"/>
        </w:rPr>
        <w:t xml:space="preserve">Habermas, J. (1984). The theory of communicative action, Vol. 1: Reason and the rationalization of society. Beacon Press.</w:t>
      </w:r>
    </w:p>
    <w:p>
      <w:pPr>
        <w:spacing w:after="140" w:line="300"/>
        <w:ind w:left="567" w:hanging="567"/>
        <w:jc w:val="both"/>
      </w:pPr>
      <w:r>
        <w:rPr>
          <w:rFonts w:ascii="Arial" w:cs="Arial" w:eastAsia="Arial" w:hAnsi="Arial"/>
          <w:sz w:val="21"/>
          <w:szCs w:val="21"/>
        </w:rPr>
        <w:t xml:space="preserve">Habermas, J. (1987). The theory of communicative action, Vol. 2: Lifeworld and system. Beacon Press.</w:t>
      </w:r>
    </w:p>
    <w:p>
      <w:pPr>
        <w:spacing w:after="140" w:line="300"/>
        <w:ind w:left="567" w:hanging="567"/>
        <w:jc w:val="both"/>
      </w:pPr>
      <w:r>
        <w:rPr>
          <w:rFonts w:ascii="Arial" w:cs="Arial" w:eastAsia="Arial" w:hAnsi="Arial"/>
          <w:sz w:val="21"/>
          <w:szCs w:val="21"/>
        </w:rPr>
        <w:t xml:space="preserve">Habermas, J. (1996). Between facts and norms: Contributions to a discourse theory of law and democracy. MIT Press.</w:t>
      </w:r>
    </w:p>
    <w:p>
      <w:pPr>
        <w:spacing w:after="140" w:line="300"/>
        <w:ind w:left="567" w:hanging="567"/>
        <w:jc w:val="both"/>
      </w:pPr>
      <w:r>
        <w:rPr>
          <w:rFonts w:ascii="Arial" w:cs="Arial" w:eastAsia="Arial" w:hAnsi="Arial"/>
          <w:sz w:val="21"/>
          <w:szCs w:val="21"/>
        </w:rPr>
        <w:t xml:space="preserve">Hair, J. F., Risher, J. J., Sarstedt, M., y Ringle, C. M. (2019). When to use and how to report the results of PLS-SEM. European Business Review, 31(1), 2–24. </w:t>
      </w:r>
      <w:r>
        <w:rPr>
          <w:rFonts w:ascii="Arial" w:cs="Arial" w:eastAsia="Arial" w:hAnsi="Arial"/>
          <w:color w:val="2A6099"/>
          <w:sz w:val="21"/>
          <w:szCs w:val="21"/>
        </w:rPr>
        <w:t xml:space="preserve">https://doi.org/10.1108/EBR-11-2018-0203</w:t>
      </w:r>
    </w:p>
    <w:p>
      <w:pPr>
        <w:spacing w:after="140" w:line="300"/>
        <w:ind w:left="567" w:hanging="567"/>
        <w:jc w:val="both"/>
      </w:pPr>
      <w:r>
        <w:rPr>
          <w:rFonts w:ascii="Arial" w:cs="Arial" w:eastAsia="Arial" w:hAnsi="Arial"/>
          <w:sz w:val="21"/>
          <w:szCs w:val="21"/>
        </w:rPr>
        <w:t xml:space="preserve">Human Rights Watch. (2015). El rol de los altos mandos en los falsos positivos de Colombia. HRW.</w:t>
      </w:r>
    </w:p>
    <w:p>
      <w:pPr>
        <w:spacing w:after="140" w:line="300"/>
        <w:ind w:left="567" w:hanging="567"/>
        <w:jc w:val="both"/>
      </w:pPr>
      <w:r>
        <w:rPr>
          <w:rFonts w:ascii="Arial" w:cs="Arial" w:eastAsia="Arial" w:hAnsi="Arial"/>
          <w:sz w:val="21"/>
          <w:szCs w:val="21"/>
        </w:rPr>
        <w:t xml:space="preserve">Human Rights Watch. (2020). Colombia: Un cuarto de siglo de reformas fallidas en derechos humanos. HRW.</w:t>
      </w:r>
    </w:p>
    <w:p>
      <w:pPr>
        <w:spacing w:after="140" w:line="300"/>
        <w:ind w:left="567" w:hanging="567"/>
        <w:jc w:val="both"/>
      </w:pPr>
      <w:r>
        <w:rPr>
          <w:rFonts w:ascii="Arial" w:cs="Arial" w:eastAsia="Arial" w:hAnsi="Arial"/>
          <w:sz w:val="21"/>
          <w:szCs w:val="21"/>
        </w:rPr>
        <w:t xml:space="preserve">ICC — International Criminal Court, Office of the Prosecutor. (2020). Situation in Colombia: Preliminary examination. Corte Penal Internacional.</w:t>
      </w:r>
    </w:p>
    <w:p>
      <w:pPr>
        <w:spacing w:after="140" w:line="300"/>
        <w:ind w:left="567" w:hanging="567"/>
        <w:jc w:val="both"/>
      </w:pPr>
      <w:r>
        <w:rPr>
          <w:rFonts w:ascii="Arial" w:cs="Arial" w:eastAsia="Arial" w:hAnsi="Arial"/>
          <w:sz w:val="21"/>
          <w:szCs w:val="21"/>
        </w:rPr>
        <w:t xml:space="preserve">Igolkina, A. A., y Meshcheryakov, G. (2020). semopy: A Python package for structural equation modeling. Structural Equation Modeling, 27(6), 952–963. </w:t>
      </w:r>
      <w:r>
        <w:rPr>
          <w:rFonts w:ascii="Arial" w:cs="Arial" w:eastAsia="Arial" w:hAnsi="Arial"/>
          <w:color w:val="2A6099"/>
          <w:sz w:val="21"/>
          <w:szCs w:val="21"/>
        </w:rPr>
        <w:t xml:space="preserve">https://doi.org/10.1080/10705511.2019.1704289</w:t>
      </w:r>
    </w:p>
    <w:p>
      <w:pPr>
        <w:spacing w:after="140" w:line="300"/>
        <w:ind w:left="567" w:hanging="567"/>
        <w:jc w:val="both"/>
      </w:pPr>
      <w:r>
        <w:rPr>
          <w:rFonts w:ascii="Arial" w:cs="Arial" w:eastAsia="Arial" w:hAnsi="Arial"/>
          <w:sz w:val="21"/>
          <w:szCs w:val="21"/>
        </w:rPr>
        <w:t xml:space="preserve">Impunity Watch. (2025). AI and transitional justice: Mapping report. Impunity Watch.</w:t>
      </w:r>
    </w:p>
    <w:p>
      <w:pPr>
        <w:spacing w:after="140" w:line="300"/>
        <w:ind w:left="567" w:hanging="567"/>
        <w:jc w:val="both"/>
      </w:pPr>
      <w:r>
        <w:rPr>
          <w:rFonts w:ascii="Arial" w:cs="Arial" w:eastAsia="Arial" w:hAnsi="Arial"/>
          <w:sz w:val="21"/>
          <w:szCs w:val="21"/>
        </w:rPr>
        <w:t xml:space="preserve">Jaramillo, J. (2021). El lenguaje de la verdad: Análisis discursivo de las audiencias JEP del Macrocaso 003 [Tesis de maestría, Universidad de los Andes].</w:t>
      </w:r>
    </w:p>
    <w:p>
      <w:pPr>
        <w:spacing w:after="140" w:line="300"/>
        <w:ind w:left="567" w:hanging="567"/>
        <w:jc w:val="both"/>
      </w:pPr>
      <w:r>
        <w:rPr>
          <w:rFonts w:ascii="Arial" w:cs="Arial" w:eastAsia="Arial" w:hAnsi="Arial"/>
          <w:sz w:val="21"/>
          <w:szCs w:val="21"/>
        </w:rPr>
        <w:t xml:space="preserve">Jelin, E. (2002). Los trabajos de la memoria. Siglo XXI.</w:t>
      </w:r>
    </w:p>
    <w:p>
      <w:pPr>
        <w:spacing w:after="140" w:line="300"/>
        <w:ind w:left="567" w:hanging="567"/>
        <w:jc w:val="both"/>
      </w:pPr>
      <w:r>
        <w:rPr>
          <w:rFonts w:ascii="Arial" w:cs="Arial" w:eastAsia="Arial" w:hAnsi="Arial"/>
          <w:sz w:val="21"/>
          <w:szCs w:val="21"/>
        </w:rPr>
        <w:t xml:space="preserve">Jurisdicción Especial para la Paz. (2021). Auto No. 125 de 2021 — Caso 03, Subcaso Norte de Santander. Sala de Reconocimiento de Verdad, Responsabilidad y Determinación de los Hechos y Conductas.</w:t>
      </w:r>
    </w:p>
    <w:p>
      <w:pPr>
        <w:spacing w:after="140" w:line="300"/>
        <w:ind w:left="567" w:hanging="567"/>
        <w:jc w:val="both"/>
      </w:pPr>
      <w:r>
        <w:rPr>
          <w:rFonts w:ascii="Arial" w:cs="Arial" w:eastAsia="Arial" w:hAnsi="Arial"/>
          <w:sz w:val="21"/>
          <w:szCs w:val="21"/>
        </w:rPr>
        <w:t xml:space="preserve">Jurisdicción Especial para la Paz. (2022). Resolución de Conclusiones No. 01 de 2022 — Caso 03. Sala de Reconocimiento de Verdad, Responsabilidad y Determinación de los Hechos y Conductas.</w:t>
      </w:r>
    </w:p>
    <w:p>
      <w:pPr>
        <w:spacing w:after="140" w:line="300"/>
        <w:ind w:left="567" w:hanging="567"/>
        <w:jc w:val="both"/>
      </w:pPr>
      <w:r>
        <w:rPr>
          <w:rFonts w:ascii="Arial" w:cs="Arial" w:eastAsia="Arial" w:hAnsi="Arial"/>
          <w:sz w:val="21"/>
          <w:szCs w:val="21"/>
        </w:rPr>
        <w:t xml:space="preserve">Kline, R. B. (2023). Principles and practice of structural equation modeling (5.ª ed.). Guilford Press.</w:t>
      </w:r>
    </w:p>
    <w:p>
      <w:pPr>
        <w:spacing w:after="140" w:line="300"/>
        <w:ind w:left="567" w:hanging="567"/>
        <w:jc w:val="both"/>
      </w:pPr>
      <w:r>
        <w:rPr>
          <w:rFonts w:ascii="Arial" w:cs="Arial" w:eastAsia="Arial" w:hAnsi="Arial"/>
          <w:sz w:val="21"/>
          <w:szCs w:val="21"/>
        </w:rPr>
        <w:t xml:space="preserve">Kozlowski, A. C., Taddy, M., y Evans, J. A. (2019). The geometry of culture: Analyzing the meanings of class through word embeddings. American Sociological Review, 84(5), 905–949. </w:t>
      </w:r>
      <w:r>
        <w:rPr>
          <w:rFonts w:ascii="Arial" w:cs="Arial" w:eastAsia="Arial" w:hAnsi="Arial"/>
          <w:color w:val="2A6099"/>
          <w:sz w:val="21"/>
          <w:szCs w:val="21"/>
        </w:rPr>
        <w:t xml:space="preserve">https://doi.org/10.1177/0003122419877135</w:t>
      </w:r>
    </w:p>
    <w:p>
      <w:pPr>
        <w:spacing w:after="140" w:line="300"/>
        <w:ind w:left="567" w:hanging="567"/>
        <w:jc w:val="both"/>
      </w:pPr>
      <w:r>
        <w:rPr>
          <w:rFonts w:ascii="Arial" w:cs="Arial" w:eastAsia="Arial" w:hAnsi="Arial"/>
          <w:sz w:val="21"/>
          <w:szCs w:val="21"/>
        </w:rPr>
        <w:t xml:space="preserve">Lafont, C. (1999). The linguistic turn in hermeneutic philosophy. MIT Press.</w:t>
      </w:r>
    </w:p>
    <w:p>
      <w:pPr>
        <w:spacing w:after="140" w:line="300"/>
        <w:ind w:left="567" w:hanging="567"/>
        <w:jc w:val="both"/>
      </w:pPr>
      <w:r>
        <w:rPr>
          <w:rFonts w:ascii="Arial" w:cs="Arial" w:eastAsia="Arial" w:hAnsi="Arial"/>
          <w:sz w:val="21"/>
          <w:szCs w:val="21"/>
        </w:rPr>
        <w:t xml:space="preserve">Landis, J. R., y Koch, G. G. (1977). The measurement of observer agreement for categorical data. Biometrics, 33(1), 159–174. </w:t>
      </w:r>
      <w:r>
        <w:rPr>
          <w:rFonts w:ascii="Arial" w:cs="Arial" w:eastAsia="Arial" w:hAnsi="Arial"/>
          <w:color w:val="2A6099"/>
          <w:sz w:val="21"/>
          <w:szCs w:val="21"/>
        </w:rPr>
        <w:t xml:space="preserve">https://doi.org/10.2307/2529310</w:t>
      </w:r>
    </w:p>
    <w:p>
      <w:pPr>
        <w:spacing w:after="140" w:line="300"/>
        <w:ind w:left="567" w:hanging="567"/>
        <w:jc w:val="both"/>
      </w:pPr>
      <w:r>
        <w:rPr>
          <w:rFonts w:ascii="Arial" w:cs="Arial" w:eastAsia="Arial" w:hAnsi="Arial"/>
          <w:sz w:val="21"/>
          <w:szCs w:val="21"/>
        </w:rPr>
        <w:t xml:space="preserve">Lippi, M., y Torroni, P. (2016). Argumentation mining: State of the art and emerging trends. ACM Transactions on Internet Technology, 16(2), 1–25. </w:t>
      </w:r>
      <w:r>
        <w:rPr>
          <w:rFonts w:ascii="Arial" w:cs="Arial" w:eastAsia="Arial" w:hAnsi="Arial"/>
          <w:color w:val="2A6099"/>
          <w:sz w:val="21"/>
          <w:szCs w:val="21"/>
        </w:rPr>
        <w:t xml:space="preserve">https://doi.org/10.1145/2850417</w:t>
      </w:r>
    </w:p>
    <w:p>
      <w:pPr>
        <w:spacing w:after="140" w:line="300"/>
        <w:ind w:left="567" w:hanging="567"/>
        <w:jc w:val="both"/>
      </w:pPr>
      <w:r>
        <w:rPr>
          <w:rFonts w:ascii="Arial" w:cs="Arial" w:eastAsia="Arial" w:hAnsi="Arial"/>
          <w:sz w:val="21"/>
          <w:szCs w:val="21"/>
        </w:rPr>
        <w:t xml:space="preserve">Lugaresi, C., Tang, J., Nash, H., McClanahan, C., Uboweja, E., Hays, M., Zhang, F., Chang, C.-L., Yong, M. G., Lee, J., Chang, W.-T., Hua, W., Georg, M., y Grundmann, M. (2019). MediaPipe: A framework for building perception pipelines. arXiv. </w:t>
      </w:r>
      <w:r>
        <w:rPr>
          <w:rFonts w:ascii="Arial" w:cs="Arial" w:eastAsia="Arial" w:hAnsi="Arial"/>
          <w:color w:val="2A6099"/>
          <w:sz w:val="21"/>
          <w:szCs w:val="21"/>
        </w:rPr>
        <w:t xml:space="preserve">https://doi.org/10.48550/arXiv.1906.08172</w:t>
      </w:r>
    </w:p>
    <w:p>
      <w:pPr>
        <w:spacing w:after="140" w:line="300"/>
        <w:ind w:left="567" w:hanging="567"/>
        <w:jc w:val="both"/>
      </w:pPr>
      <w:r>
        <w:rPr>
          <w:rFonts w:ascii="Arial" w:cs="Arial" w:eastAsia="Arial" w:hAnsi="Arial"/>
          <w:sz w:val="21"/>
          <w:szCs w:val="21"/>
        </w:rPr>
        <w:t xml:space="preserve">MAFAPO — Madres de Falsos Positivos de Soacha y Bogotá. (2021). Unidas por la memoria y la verdad. OIM / Embajada de Suecia.</w:t>
      </w:r>
    </w:p>
    <w:p>
      <w:pPr>
        <w:spacing w:after="140" w:line="300"/>
        <w:ind w:left="567" w:hanging="567"/>
        <w:jc w:val="both"/>
      </w:pPr>
      <w:r>
        <w:rPr>
          <w:rFonts w:ascii="Arial" w:cs="Arial" w:eastAsia="Arial" w:hAnsi="Arial"/>
          <w:sz w:val="21"/>
          <w:szCs w:val="21"/>
        </w:rPr>
        <w:t xml:space="preserve">Mamdani, M. (1996). Reconciliation without justice. Southern African Review of Books, 46, 3–5.</w:t>
      </w:r>
    </w:p>
    <w:p>
      <w:pPr>
        <w:spacing w:after="140" w:line="300"/>
        <w:ind w:left="567" w:hanging="567"/>
        <w:jc w:val="both"/>
      </w:pPr>
      <w:r>
        <w:rPr>
          <w:rFonts w:ascii="Arial" w:cs="Arial" w:eastAsia="Arial" w:hAnsi="Arial"/>
          <w:sz w:val="21"/>
          <w:szCs w:val="21"/>
        </w:rPr>
        <w:t xml:space="preserve">Mann, H. B., y Whitney, D. R. (1947). On a test of whether one of two random variables is stochastically larger than the other. Annals of Mathematical Statistics, 18(1), 50–60. </w:t>
      </w:r>
      <w:r>
        <w:rPr>
          <w:rFonts w:ascii="Arial" w:cs="Arial" w:eastAsia="Arial" w:hAnsi="Arial"/>
          <w:color w:val="2A6099"/>
          <w:sz w:val="21"/>
          <w:szCs w:val="21"/>
        </w:rPr>
        <w:t xml:space="preserve">https://doi.org/10.1214/aoms/1177730491</w:t>
      </w:r>
    </w:p>
    <w:p>
      <w:pPr>
        <w:spacing w:after="140" w:line="300"/>
        <w:ind w:left="567" w:hanging="567"/>
        <w:jc w:val="both"/>
      </w:pPr>
      <w:r>
        <w:rPr>
          <w:rFonts w:ascii="Arial" w:cs="Arial" w:eastAsia="Arial" w:hAnsi="Arial"/>
          <w:sz w:val="21"/>
          <w:szCs w:val="21"/>
        </w:rPr>
        <w:t xml:space="preserve">Medina, J. (2013). The epistemology of resistance: Gender and racial oppression, epistemic injustice, and resistant imaginations. Oxford University Press.</w:t>
      </w:r>
    </w:p>
    <w:p>
      <w:pPr>
        <w:spacing w:after="140" w:line="300"/>
        <w:ind w:left="567" w:hanging="567"/>
        <w:jc w:val="both"/>
      </w:pPr>
      <w:r>
        <w:rPr>
          <w:rFonts w:ascii="Arial" w:cs="Arial" w:eastAsia="Arial" w:hAnsi="Arial"/>
          <w:sz w:val="21"/>
          <w:szCs w:val="21"/>
        </w:rPr>
        <w:t xml:space="preserve">Mendelsohn, J., Tsvetkov, Y., y Jurafsky, D. (2020). A framework for the computational linguistic analysis of dehumanization. Frontiers in Artificial Intelligence, 3, 55. </w:t>
      </w:r>
      <w:r>
        <w:rPr>
          <w:rFonts w:ascii="Arial" w:cs="Arial" w:eastAsia="Arial" w:hAnsi="Arial"/>
          <w:color w:val="2A6099"/>
          <w:sz w:val="21"/>
          <w:szCs w:val="21"/>
        </w:rPr>
        <w:t xml:space="preserve">https://doi.org/10.3389/frai.2020.00055</w:t>
      </w:r>
    </w:p>
    <w:p>
      <w:pPr>
        <w:spacing w:after="140" w:line="300"/>
        <w:ind w:left="567" w:hanging="567"/>
        <w:jc w:val="both"/>
      </w:pPr>
      <w:r>
        <w:rPr>
          <w:rFonts w:ascii="Arial" w:cs="Arial" w:eastAsia="Arial" w:hAnsi="Arial"/>
          <w:sz w:val="21"/>
          <w:szCs w:val="21"/>
        </w:rPr>
        <w:t xml:space="preserve">Meyers, J., y Valls-Vargas, J. (2023). The language of inclusion: Critical corpus-based methods in Liberia's Truth Commission. Social Justice Research, 36, 379–402. </w:t>
      </w:r>
      <w:r>
        <w:rPr>
          <w:rFonts w:ascii="Arial" w:cs="Arial" w:eastAsia="Arial" w:hAnsi="Arial"/>
          <w:color w:val="2A6099"/>
          <w:sz w:val="21"/>
          <w:szCs w:val="21"/>
        </w:rPr>
        <w:t xml:space="preserve">https://doi.org/10.1007/s11211-023-00417-7</w:t>
      </w:r>
    </w:p>
    <w:p>
      <w:pPr>
        <w:spacing w:after="140" w:line="300"/>
        <w:ind w:left="567" w:hanging="567"/>
        <w:jc w:val="both"/>
      </w:pPr>
      <w:r>
        <w:rPr>
          <w:rFonts w:ascii="Arial" w:cs="Arial" w:eastAsia="Arial" w:hAnsi="Arial"/>
          <w:sz w:val="21"/>
          <w:szCs w:val="21"/>
        </w:rPr>
        <w:t xml:space="preserve">Noble, S. U. (2018). Algorithms of oppression: How search engines reinforce racism. New York University Press.</w:t>
      </w:r>
    </w:p>
    <w:p>
      <w:pPr>
        <w:spacing w:after="140" w:line="300"/>
        <w:ind w:left="567" w:hanging="567"/>
        <w:jc w:val="both"/>
      </w:pPr>
      <w:r>
        <w:rPr>
          <w:rFonts w:ascii="Arial" w:cs="Arial" w:eastAsia="Arial" w:hAnsi="Arial"/>
          <w:sz w:val="21"/>
          <w:szCs w:val="21"/>
        </w:rPr>
        <w:t xml:space="preserve">OACNUDH. (2010). Informe del Relator Especial sobre las ejecuciones extrajudiciales, sumarias o arbitrarias: Misión a Colombia (A/HRC/14/24/Add.2). Oficina del Alto Comisionado de las Naciones Unidas para los Derechos Humanos.</w:t>
      </w:r>
    </w:p>
    <w:p>
      <w:pPr>
        <w:spacing w:after="140" w:line="300"/>
        <w:ind w:left="567" w:hanging="567"/>
        <w:jc w:val="both"/>
      </w:pPr>
      <w:r>
        <w:rPr>
          <w:rFonts w:ascii="Arial" w:cs="Arial" w:eastAsia="Arial" w:hAnsi="Arial"/>
          <w:sz w:val="21"/>
          <w:szCs w:val="21"/>
        </w:rPr>
        <w:t xml:space="preserve">Páez, A., y Matida, J. (2022). La injusticia epistémica en el proceso penal. Estudios de Filosofía, 65, 5–25.</w:t>
      </w:r>
    </w:p>
    <w:p>
      <w:pPr>
        <w:spacing w:after="140" w:line="300"/>
        <w:ind w:left="567" w:hanging="567"/>
        <w:jc w:val="both"/>
      </w:pPr>
      <w:r>
        <w:rPr>
          <w:rFonts w:ascii="Arial" w:cs="Arial" w:eastAsia="Arial" w:hAnsi="Arial"/>
          <w:sz w:val="21"/>
          <w:szCs w:val="21"/>
        </w:rPr>
        <w:t xml:space="preserve">Pérez-Rosas, V., Abouelenien, M., Mihalcea, R., y Burzo, M. (2015). Deception detection using real-life trial data. Proceedings of ICMI 2015, 59–66. </w:t>
      </w:r>
      <w:r>
        <w:rPr>
          <w:rFonts w:ascii="Arial" w:cs="Arial" w:eastAsia="Arial" w:hAnsi="Arial"/>
          <w:color w:val="2A6099"/>
          <w:sz w:val="21"/>
          <w:szCs w:val="21"/>
        </w:rPr>
        <w:t xml:space="preserve">https://doi.org/10.1145/2818346.2820758</w:t>
      </w:r>
    </w:p>
    <w:p>
      <w:pPr>
        <w:spacing w:after="140" w:line="300"/>
        <w:ind w:left="567" w:hanging="567"/>
        <w:jc w:val="both"/>
      </w:pPr>
      <w:r>
        <w:rPr>
          <w:rFonts w:ascii="Arial" w:cs="Arial" w:eastAsia="Arial" w:hAnsi="Arial"/>
          <w:sz w:val="21"/>
          <w:szCs w:val="21"/>
        </w:rPr>
        <w:t xml:space="preserve">Pohlhaus, G., Jr. (2012). Relational knowing and epistemic injustice: Toward a theory of willful hermeneutical ignorance. Hypatia, 27(4), 715–735. </w:t>
      </w:r>
      <w:r>
        <w:rPr>
          <w:rFonts w:ascii="Arial" w:cs="Arial" w:eastAsia="Arial" w:hAnsi="Arial"/>
          <w:color w:val="2A6099"/>
          <w:sz w:val="21"/>
          <w:szCs w:val="21"/>
        </w:rPr>
        <w:t xml:space="preserve">https://doi.org/10.1111/j.1527-2001.2011.01222.x</w:t>
      </w:r>
    </w:p>
    <w:p>
      <w:pPr>
        <w:spacing w:after="140" w:line="300"/>
        <w:ind w:left="567" w:hanging="567"/>
        <w:jc w:val="both"/>
      </w:pPr>
      <w:r>
        <w:rPr>
          <w:rFonts w:ascii="Arial" w:cs="Arial" w:eastAsia="Arial" w:hAnsi="Arial"/>
          <w:sz w:val="21"/>
          <w:szCs w:val="21"/>
        </w:rPr>
        <w:t xml:space="preserve">Radford, A., Kim, J. W., Xu, T., Brockman, G., McLeavey, C., y Sutskever, I. (2023). Robust speech recognition via large-scale weak supervision. Proceedings of ICML 2023, 28492–28518.</w:t>
      </w:r>
    </w:p>
    <w:p>
      <w:pPr>
        <w:spacing w:after="140" w:line="300"/>
        <w:ind w:left="567" w:hanging="567"/>
        <w:jc w:val="both"/>
      </w:pPr>
      <w:r>
        <w:rPr>
          <w:rFonts w:ascii="Arial" w:cs="Arial" w:eastAsia="Arial" w:hAnsi="Arial"/>
          <w:sz w:val="21"/>
          <w:szCs w:val="21"/>
        </w:rPr>
        <w:t xml:space="preserve">Reisenzein, R., Studtmann, M., y Horstmann, G. (2013). Coherence between emotion and facial expression: Evidence from laboratory experiments. Emotion Review, 5(1), 16–23. </w:t>
      </w:r>
      <w:r>
        <w:rPr>
          <w:rFonts w:ascii="Arial" w:cs="Arial" w:eastAsia="Arial" w:hAnsi="Arial"/>
          <w:color w:val="2A6099"/>
          <w:sz w:val="21"/>
          <w:szCs w:val="21"/>
        </w:rPr>
        <w:t xml:space="preserve">https://doi.org/10.1177/1754073912457228</w:t>
      </w:r>
    </w:p>
    <w:p>
      <w:pPr>
        <w:spacing w:after="140" w:line="300"/>
        <w:ind w:left="567" w:hanging="567"/>
        <w:jc w:val="both"/>
      </w:pPr>
      <w:r>
        <w:rPr>
          <w:rFonts w:ascii="Arial" w:cs="Arial" w:eastAsia="Arial" w:hAnsi="Arial"/>
          <w:sz w:val="21"/>
          <w:szCs w:val="21"/>
        </w:rPr>
        <w:t xml:space="preserve">Rojas-Andrade, G., et al. (2025). False positives in Colombia: State violence, ignorance and the epistemic struggles of victims. European Review of Latin American and Caribbean Studies, 119. </w:t>
      </w:r>
      <w:r>
        <w:rPr>
          <w:rFonts w:ascii="Arial" w:cs="Arial" w:eastAsia="Arial" w:hAnsi="Arial"/>
          <w:color w:val="2A6099"/>
          <w:sz w:val="21"/>
          <w:szCs w:val="21"/>
        </w:rPr>
        <w:t xml:space="preserve">https://doi.org/10.32992/erlacs.11238</w:t>
      </w:r>
    </w:p>
    <w:p>
      <w:pPr>
        <w:spacing w:after="140" w:line="300"/>
        <w:ind w:left="567" w:hanging="567"/>
        <w:jc w:val="both"/>
      </w:pPr>
      <w:r>
        <w:rPr>
          <w:rFonts w:ascii="Arial" w:cs="Arial" w:eastAsia="Arial" w:hAnsi="Arial"/>
          <w:sz w:val="21"/>
          <w:szCs w:val="21"/>
        </w:rPr>
        <w:t xml:space="preserve">Sap, M., Swayamdipta, S., Viswanathan, L., Zhou, X., Choi, Y., y Smith, N. A. (2017). Connotation frames of power and agency in modern films. Proceedings of EMNLP 2017, 2329–2334. </w:t>
      </w:r>
      <w:r>
        <w:rPr>
          <w:rFonts w:ascii="Arial" w:cs="Arial" w:eastAsia="Arial" w:hAnsi="Arial"/>
          <w:color w:val="2A6099"/>
          <w:sz w:val="21"/>
          <w:szCs w:val="21"/>
        </w:rPr>
        <w:t xml:space="preserve">https://doi.org/10.18653/v1/D17-1247</w:t>
      </w:r>
    </w:p>
    <w:p>
      <w:pPr>
        <w:spacing w:after="140" w:line="300"/>
        <w:ind w:left="567" w:hanging="567"/>
        <w:jc w:val="both"/>
      </w:pPr>
      <w:r>
        <w:rPr>
          <w:rFonts w:ascii="Arial" w:cs="Arial" w:eastAsia="Arial" w:hAnsi="Arial"/>
          <w:sz w:val="21"/>
          <w:szCs w:val="21"/>
        </w:rPr>
        <w:t xml:space="preserve">Searle, J. R. (1969). Speech acts: An essay in the philosophy of language. Cambridge University Press.</w:t>
      </w:r>
    </w:p>
    <w:p>
      <w:pPr>
        <w:spacing w:after="140" w:line="300"/>
        <w:ind w:left="567" w:hanging="567"/>
        <w:jc w:val="both"/>
      </w:pPr>
      <w:r>
        <w:rPr>
          <w:rFonts w:ascii="Arial" w:cs="Arial" w:eastAsia="Arial" w:hAnsi="Arial"/>
          <w:sz w:val="21"/>
          <w:szCs w:val="21"/>
        </w:rPr>
        <w:t xml:space="preserve">Swales, J. M. (1990). Genre analysis: English in academic and research settings. Cambridge University Press.</w:t>
      </w:r>
    </w:p>
    <w:p>
      <w:pPr>
        <w:spacing w:after="140" w:line="300"/>
        <w:ind w:left="567" w:hanging="567"/>
        <w:jc w:val="both"/>
      </w:pPr>
      <w:r>
        <w:rPr>
          <w:rFonts w:ascii="Arial" w:cs="Arial" w:eastAsia="Arial" w:hAnsi="Arial"/>
          <w:sz w:val="21"/>
          <w:szCs w:val="21"/>
        </w:rPr>
        <w:t xml:space="preserve">van de Schoot, R., Depaoli, S., King, R., Kramer, B., Märtens, K., Tadesse, M. G., Vannucci, M., Gelman, A., Veen, D., Willemsen, J., y Yau, C. (2021). Bayesian statistics and modelling. Nature Reviews Methods Primers, 1, 1. </w:t>
      </w:r>
      <w:r>
        <w:rPr>
          <w:rFonts w:ascii="Arial" w:cs="Arial" w:eastAsia="Arial" w:hAnsi="Arial"/>
          <w:color w:val="2A6099"/>
          <w:sz w:val="21"/>
          <w:szCs w:val="21"/>
        </w:rPr>
        <w:t xml:space="preserve">https://doi.org/10.1038/s43586-020-00001-2</w:t>
      </w:r>
    </w:p>
    <w:p>
      <w:pPr>
        <w:spacing w:after="140" w:line="300"/>
        <w:ind w:left="567" w:hanging="567"/>
        <w:jc w:val="both"/>
      </w:pPr>
      <w:r>
        <w:rPr>
          <w:rFonts w:ascii="Arial" w:cs="Arial" w:eastAsia="Arial" w:hAnsi="Arial"/>
          <w:sz w:val="21"/>
          <w:szCs w:val="21"/>
        </w:rPr>
        <w:t xml:space="preserve">Van Dijk, T. A. (2008). Discourse and power. Palgrave Macmillan.</w:t>
      </w:r>
    </w:p>
    <w:p>
      <w:pPr>
        <w:spacing w:after="140" w:line="300"/>
        <w:ind w:left="567" w:hanging="567"/>
        <w:jc w:val="both"/>
      </w:pPr>
      <w:r>
        <w:rPr>
          <w:rFonts w:ascii="Arial" w:cs="Arial" w:eastAsia="Arial" w:hAnsi="Arial"/>
          <w:sz w:val="21"/>
          <w:szCs w:val="21"/>
        </w:rPr>
        <w:t xml:space="preserve">Wolf, A. (2022). Presumed guilty until proven credible: Epistemic injustice toward Venezuelan immigrants in Colombia. Estudios de Filosofía, 66, 89–110.</w:t>
      </w:r>
    </w:p>
    <w:p>
      <w:pPr>
        <w:spacing w:after="140" w:line="300"/>
        <w:ind w:left="567" w:hanging="567"/>
        <w:jc w:val="both"/>
      </w:pPr>
      <w:r>
        <w:rPr>
          <w:rFonts w:ascii="Arial" w:cs="Arial" w:eastAsia="Arial" w:hAnsi="Arial"/>
          <w:sz w:val="21"/>
          <w:szCs w:val="21"/>
        </w:rPr>
        <w:t xml:space="preserve">Yang, W., Alsarra, S., Abdeljaber, L., Zawad, N., Delaram, Z., Osorio, J., Khan, L., Brandt, P., y D'Orazio, V. (2023). ConfliBERT-Spanish: A pre-trained Spanish language model for political conflict and violence. Proceedings of IEEE CiSt 2023, 287–292.</w:t>
      </w:r>
    </w:p>
    <w:p>
      <w:pPr>
        <w:spacing w:after="140" w:line="300"/>
        <w:ind w:left="567" w:hanging="567"/>
        <w:jc w:val="both"/>
      </w:pPr>
      <w:r>
        <w:rPr>
          <w:rFonts w:ascii="Arial" w:cs="Arial" w:eastAsia="Arial" w:hAnsi="Arial"/>
          <w:sz w:val="21"/>
          <w:szCs w:val="21"/>
        </w:rPr>
        <w:t xml:space="preserve">Yang, W., Hu, Y., Osorio, J., Khan, L., Brandt, P., y D'Orazio, V. (2022). ConfliBERT: A pre-trained language model for political conflict and violence. Proceedings of NAACL 2022, 5469–5482. </w:t>
      </w:r>
      <w:r>
        <w:rPr>
          <w:rFonts w:ascii="Arial" w:cs="Arial" w:eastAsia="Arial" w:hAnsi="Arial"/>
          <w:color w:val="2A6099"/>
          <w:sz w:val="21"/>
          <w:szCs w:val="21"/>
        </w:rPr>
        <w:t xml:space="preserve">https://doi.org/10.18653/v1/2022.naacl-main.400</w:t>
      </w:r>
    </w:p>
    <w:p>
      <w:pPr>
        <w:spacing w:after="140" w:line="300"/>
        <w:ind w:left="567" w:hanging="567"/>
        <w:jc w:val="both"/>
      </w:pPr>
      <w:r>
        <w:rPr>
          <w:rFonts w:ascii="Arial" w:cs="Arial" w:eastAsia="Arial" w:hAnsi="Arial"/>
          <w:sz w:val="21"/>
          <w:szCs w:val="21"/>
        </w:rPr>
        <w:t xml:space="preserve">Zehr, H. (2002). The little book of restorative justice. Good Books.</w:t>
      </w:r>
    </w:p>
    <w:p>
      <w:pPr>
        <w:spacing w:after="140" w:line="300"/>
        <w:ind w:left="567" w:hanging="567"/>
        <w:jc w:val="both"/>
      </w:pPr>
      <w:r>
        <w:rPr>
          <w:rFonts w:ascii="Arial" w:cs="Arial" w:eastAsia="Arial" w:hAnsi="Arial"/>
          <w:sz w:val="21"/>
          <w:szCs w:val="21"/>
        </w:rPr>
        <w:t xml:space="preserve">Zhong, H., Wang, Y., Tu, C., Zhang, T., Liu, Z., y Sun, M. (2020). Iteratively questioning and answering for interpretable legal judgment prediction. Proceedings of AAAI 2020, 1250–1257. </w:t>
      </w:r>
      <w:r>
        <w:rPr>
          <w:rFonts w:ascii="Arial" w:cs="Arial" w:eastAsia="Arial" w:hAnsi="Arial"/>
          <w:color w:val="2A6099"/>
          <w:sz w:val="21"/>
          <w:szCs w:val="21"/>
        </w:rPr>
        <w:t xml:space="preserve">https://doi.org/10.1609/aaai.v34i01.5479</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