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6.1.7 El gradiente de genuinidad por rango militar — hallazgo Capa 3</w:t>
      </w:r>
    </w:p>
    <w:p>
      <w:pPr>
        <w:spacing w:after="200" w:line="360" w:lineRule="auto"/>
        <w:ind w:firstLine="720"/>
        <w:jc w:val="both"/>
      </w:pPr>
      <w:r>
        <w:rPr>
          <w:rFonts w:ascii="Times New Roman" w:cs="Times New Roman" w:eastAsia="Times New Roman" w:hAnsi="Times New Roman"/>
          <w:color w:val="000000"/>
          <w:sz w:val="24"/>
          <w:szCs w:val="24"/>
        </w:rPr>
        <w:t xml:space="preserve">El hallazgo más relevante de la Capa 3 multimodal es un gradiente monotónico de genuinidad del reconocimiento facial por rango militar: General Torres Escalante (ICM=0.190) &lt; Capitán Chaparro Chaparro (ICM=0.272) &lt; Oficial Dabeiba (ICM=0.292) &lt; Soldados Huila (ICM=0.307). Este gradiente emergió del análisis de Action Units faciales con MediaPipe FaceLandmarker sobre los segmentos de audio diarizados de los comparecientes en 4 de 5 audiencias del Corpus C.</w:t>
      </w:r>
    </w:p>
    <w:p>
      <w:pPr>
        <w:spacing w:after="200" w:line="360" w:lineRule="auto"/>
        <w:ind w:firstLine="720"/>
        <w:jc w:val="both"/>
      </w:pPr>
      <w:r>
        <w:rPr>
          <w:rFonts w:ascii="Times New Roman" w:cs="Times New Roman" w:eastAsia="Times New Roman" w:hAnsi="Times New Roman"/>
          <w:color w:val="000000"/>
          <w:sz w:val="24"/>
          <w:szCs w:val="24"/>
        </w:rPr>
        <w:t xml:space="preserve">El gradiente tiene tres interpretaciones teóricas que se complementan. La primera es institucional: los generales y oficiales superiores acumulan mayor experiencia en comunicación pública y tienen mayor incentivo para proteger su imagen ante la comunidad internacional — lo que produce un perfil facial más gestionado (AU12 sonrisa dominante). Los soldados rasos, con menor poder institucional, producen un perfil facial menos administrado (AU4 ceño dominante, AU12 reducida). La segunda interpretación es psicológica: la distancia entre quien da la orden y quien comete el acto físico es mayor en los generales — lo que genera una experiencia diferencial del acto criminal. Los soldados que directamente asesinaron civiles tienen mayor proximidad psicológica al acto y mayores índices de distress facial. La tercera interpretación es procesal: los comparecientes de mayor rango han declarado más veces ante la JEP — sus versiones voluntarias precedieron las audiencias públicas — lo que produce mayor experticia en el manejo de la comunicación judicial.</w:t>
      </w:r>
    </w:p>
    <w:p>
      <w:pPr>
        <w:spacing w:after="200" w:line="360" w:lineRule="auto"/>
        <w:ind w:firstLine="720"/>
        <w:jc w:val="both"/>
      </w:pPr>
      <w:r>
        <w:rPr>
          <w:rFonts w:ascii="Times New Roman" w:cs="Times New Roman" w:eastAsia="Times New Roman" w:hAnsi="Times New Roman"/>
          <w:color w:val="000000"/>
          <w:sz w:val="24"/>
          <w:szCs w:val="24"/>
        </w:rPr>
        <w:t xml:space="preserve">Este hallazgo conecta con la literatura de psicología forense sobre la expresión de culpa. Scientific Reports (2024) demuestra que la culpa no tiene un display facial discreto universalmente identificable, sino que se manifiesta como un patrón de inhibición — sonrisa reducida, ceño leve — que el ICM captura precisamente. El gradiente por rango sugiere que el ICM facial está midiendo algo real: la mayor o menor inhibición del display emocional en función del poder institucional del compareciente.</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importante de este hallazgo es que los ICM se calcularon sobre diferentes personas en cada audiencia — no sobre el mismo individuo en diferentes momentos. Por tanto, el gradiente refleja diferencias individuales (y de rango) entre comparecientes, no necesariamente un efecto causal del rango. La validación requeriría una comparación controlada de la misma persona en diferentes roles o momentos, lo que no es posible con este corpus.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 xml:space="preserve">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video de Costa Caribe (subcaso La Popa, julio 2022) está bloqueado por DRM en YouTube y no pudo ser procesado.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Resolver el video Costa Caribe (DRM) para completar el Corpus C 5/5 en Capa 3. Validación perceptual del ICM: correlación entre ICM calculado y percepción humana de sinceridad sobre muestra del Corpus C (Baird y Coutinho, 2019).</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Cinco de seis indicadores CFH muestran diferencias estadísticamente significativas en la dirección predicha.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La Capa 3 añade un hallazgo inesperado: un gradiente monotónico de genuinidad del reconocimiento facial por rango militar (General ICM=0.190 &lt; Capitán ICM=0.272 &lt; Oficial ICM=0.292 &lt; Soldados ICM=0.307), que sugiere que el poder institucional modula la expresión emocional en los actos de reconocimiento de responsabilidad.</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2026-04-15T21:39:48.104Z</dcterms:created>
  <dcterms:modified xsi:type="dcterms:W3CDTF">2026-04-15T21:39:48.105Z</dcterms:modified>
</cp:coreProperties>
</file>

<file path=docProps/custom.xml><?xml version="1.0" encoding="utf-8"?>
<Properties xmlns="http://schemas.openxmlformats.org/officeDocument/2006/custom-properties" xmlns:vt="http://schemas.openxmlformats.org/officeDocument/2006/docPropsVTypes"/>
</file>