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Times New Roman" w:cs="Times New Roman" w:eastAsia="Times New Roman" w:hAnsi="Times New Roman"/>
          <w:b/>
          <w:bCs/>
          <w:color w:val="0D2137"/>
          <w:sz w:val="30"/>
          <w:szCs w:val="30"/>
        </w:rPr>
        <w:t xml:space="preserve">Bibliografía Must-Cite CFH — 16 referencias obligatorias (Sesión 3, abril 2026)</w:t>
      </w:r>
    </w:p>
    <w:p>
      <w:pPr>
        <w:spacing w:after="180" w:line="340"/>
        <w:jc w:val="both"/>
      </w:pPr>
      <w:r>
        <w:rPr>
          <w:rFonts w:ascii="Times New Roman" w:cs="Times New Roman" w:eastAsia="Times New Roman" w:hAnsi="Times New Roman"/>
          <w:color w:val="000000"/>
          <w:sz w:val="20"/>
          <w:szCs w:val="20"/>
        </w:rPr>
        <w:t xml:space="preserve">Lista de las 16 referencias que no pueden estar ausentes en la tesis CFH según la revisión sistemática del estado del arte (Julián Zuluaga, 24 abril 2026). Para cada referencia: grupo temático, urgencia, argumento de por qué es obligatoria, capítulo de integración y estado de acceso.</w:t>
      </w:r>
    </w:p>
    <w:p>
      <w:pPr>
        <w:spacing w:after="100"/>
      </w:pPr>
      <w:r>
        <w:rPr>
          <w:rFonts w:ascii="Times New Roman" w:cs="Times New Roman" w:eastAsia="Times New Roman" w:hAnsi="Times New Roman"/>
          <w:color w:val="000000"/>
          <w:sz w:val="20"/>
          <w:szCs w:val="20"/>
        </w:rPr>
        <w:t xml:space="preserve"/>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400"/>
        <w:gridCol w:w="1200"/>
        <w:gridCol w:w="400"/>
        <w:gridCol w:w="1400"/>
      </w:tblGrid>
      <w:tr>
        <w:tc>
          <w:tcPr>
            <w:tcW w:type="dxa" w:w="400"/>
            <w:gridSpan w:val="1"/>
            <w:shd w:fill="F8D7DA"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4"/>
                <w:szCs w:val="14"/>
              </w:rPr>
              <w:t xml:space="preserve">■</w:t>
            </w:r>
          </w:p>
        </w:tc>
        <w:tc>
          <w:tcPr>
            <w:tcW w:type="dxa" w:w="1200"/>
            <w:gridSpan w:val="1"/>
            <w:shd w:fill="F8D7DA"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4"/>
                <w:szCs w:val="14"/>
              </w:rPr>
              <w:t xml:space="preserve">CRÍTICA — no negociable</w:t>
            </w:r>
          </w:p>
        </w:tc>
        <w:tc>
          <w:tcPr>
            <w:tcW w:type="dxa" w:w="400"/>
            <w:gridSpan w:val="1"/>
            <w:shd w:fill="FFF3CD"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4"/>
                <w:szCs w:val="14"/>
              </w:rPr>
              <w:t xml:space="preserve">■</w:t>
            </w:r>
          </w:p>
        </w:tc>
        <w:tc>
          <w:tcPr>
            <w:tcW w:type="dxa" w:w="12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4"/>
                <w:szCs w:val="14"/>
              </w:rPr>
              <w:t xml:space="preserve">ALTA — muy recomendada</w:t>
            </w:r>
          </w:p>
        </w:tc>
        <w:tc>
          <w:tcPr>
            <w:tcW w:type="dxa" w:w="400"/>
            <w:gridSpan w:val="1"/>
            <w:shd w:fill="DBEAFE"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4"/>
                <w:szCs w:val="14"/>
              </w:rPr>
              <w:t xml:space="preserve">■</w:t>
            </w:r>
          </w:p>
        </w:tc>
        <w:tc>
          <w:tcPr>
            <w:tcW w:type="dxa" w:w="1400"/>
            <w:gridSpan w:val="1"/>
            <w:shd w:fill="DBEAFE"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4"/>
                <w:szCs w:val="14"/>
              </w:rPr>
              <w:t xml:space="preserve">MEDIA — complementaria</w:t>
            </w:r>
          </w:p>
        </w:tc>
      </w:tr>
    </w:tbl>
    <w:p>
      <w:pPr>
        <w:spacing w:after="100"/>
      </w:pPr>
      <w:r>
        <w:rPr>
          <w:rFonts w:ascii="Times New Roman" w:cs="Times New Roman" w:eastAsia="Times New Roman" w:hAnsi="Times New Roman"/>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1200"/>
        <w:gridCol w:w="800"/>
        <w:gridCol w:w="3200"/>
        <w:gridCol w:w="1600"/>
        <w:gridCol w:w="900"/>
      </w:tblGrid>
      <w:tr>
        <w:tc>
          <w:tcPr>
            <w:tcW w:type="dxa" w:w="300"/>
            <w:gridSpan w:val="1"/>
            <w:shd w:fill="0D2137"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FFFFFF"/>
                <w:sz w:val="17"/>
                <w:szCs w:val="17"/>
              </w:rPr>
              <w:t xml:space="preserve">#</w:t>
            </w:r>
          </w:p>
        </w:tc>
        <w:tc>
          <w:tcPr>
            <w:tcW w:type="dxa" w:w="1200"/>
            <w:gridSpan w:val="1"/>
            <w:shd w:fill="0D2137"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FFFFFF"/>
                <w:sz w:val="17"/>
                <w:szCs w:val="17"/>
              </w:rPr>
              <w:t xml:space="preserve">Referencia APA</w:t>
            </w:r>
          </w:p>
        </w:tc>
        <w:tc>
          <w:tcPr>
            <w:tcW w:type="dxa" w:w="800"/>
            <w:gridSpan w:val="1"/>
            <w:shd w:fill="0D2137"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FFFFFF"/>
                <w:sz w:val="17"/>
                <w:szCs w:val="17"/>
              </w:rPr>
              <w:t xml:space="preserve">Grupo</w:t>
            </w:r>
          </w:p>
        </w:tc>
        <w:tc>
          <w:tcPr>
            <w:tcW w:type="dxa" w:w="3200"/>
            <w:gridSpan w:val="1"/>
            <w:shd w:fill="0D2137"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FFFFFF"/>
                <w:sz w:val="17"/>
                <w:szCs w:val="17"/>
              </w:rPr>
              <w:t xml:space="preserve">Por qué es obligatoria</w:t>
            </w:r>
          </w:p>
        </w:tc>
        <w:tc>
          <w:tcPr>
            <w:tcW w:type="dxa" w:w="1600"/>
            <w:gridSpan w:val="1"/>
            <w:shd w:fill="0D2137"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FFFFFF"/>
                <w:sz w:val="17"/>
                <w:szCs w:val="17"/>
              </w:rPr>
              <w:t xml:space="preserve">Dónde integrar</w:t>
            </w:r>
          </w:p>
        </w:tc>
        <w:tc>
          <w:tcPr>
            <w:tcW w:type="dxa" w:w="900"/>
            <w:gridSpan w:val="1"/>
            <w:shd w:fill="0D2137"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FFFFFF"/>
                <w:sz w:val="17"/>
                <w:szCs w:val="17"/>
              </w:rPr>
              <w:t xml:space="preserve">Estado</w:t>
            </w:r>
          </w:p>
        </w:tc>
      </w:tr>
      <w:tr>
        <w:tc>
          <w:tcPr>
            <w:tcW w:type="dxa" w:w="300"/>
            <w:gridSpan w:val="1"/>
            <w:shd w:fill="F8D7DA"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6"/>
                <w:szCs w:val="16"/>
              </w:rPr>
              <w:t xml:space="preserve">01</w:t>
            </w:r>
          </w:p>
        </w:tc>
        <w:tc>
          <w:tcPr>
            <w:tcW w:type="dxa" w:w="1200"/>
            <w:gridSpan w:val="1"/>
            <w:shd w:fill="F8D7DA"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Sosa, C., Gutiérrez-Osorio, C., et al. (2025). Construyendo la verdad: minería de texto y redes lingüísticas en audiencias del Caso 03 de la JEP. arXiv:2504.04325.</w:t>
            </w:r>
          </w:p>
        </w:tc>
        <w:tc>
          <w:tcPr>
            <w:tcW w:type="dxa" w:w="800"/>
            <w:gridSpan w:val="1"/>
            <w:shd w:fill="F8D7DA"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Posicionamiento JEP</w:t>
            </w:r>
          </w:p>
        </w:tc>
        <w:tc>
          <w:tcPr>
            <w:tcW w:type="dxa" w:w="3200"/>
            <w:gridSpan w:val="1"/>
            <w:shd w:fill="F8D7DA"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Único antecedente directo en NLP sobre Macrocaso 003. No citarlo es un vacío grave. Demuestra que el trabajo previo es mono-modal (solo redes semánticas skipgram), sin análisis prosódico ni facial. CFH se diferencia por la integración multimodal y el framework de congruencia.</w:t>
            </w:r>
          </w:p>
        </w:tc>
        <w:tc>
          <w:tcPr>
            <w:tcW w:type="dxa" w:w="1600"/>
            <w:gridSpan w:val="1"/>
            <w:shd w:fill="F8D7DA"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Cap. 2 §2.3, Cap. 3 §3.2, Cap. 6 §6.2</w:t>
            </w:r>
          </w:p>
        </w:tc>
        <w:tc>
          <w:tcPr>
            <w:tcW w:type="dxa" w:w="900"/>
            <w:gridSpan w:val="1"/>
            <w:shd w:fill="F8D7DA"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Disponible en arXiv — descargar PDF</w:t>
            </w:r>
          </w:p>
        </w:tc>
      </w:tr>
      <w:tr>
        <w:tc>
          <w:tcPr>
            <w:tcW w:type="dxa" w:w="300"/>
            <w:gridSpan w:val="1"/>
            <w:shd w:fill="F8D7DA"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6"/>
                <w:szCs w:val="16"/>
              </w:rPr>
              <w:t xml:space="preserve">02</w:t>
            </w:r>
          </w:p>
        </w:tc>
        <w:tc>
          <w:tcPr>
            <w:tcW w:type="dxa" w:w="1200"/>
            <w:gridSpan w:val="1"/>
            <w:shd w:fill="F8D7DA"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JEP — Sala de Reconocimiento de Verdad y Responsabilidad. (2021). Auto 033 de 2021: Priorización de subcasos del Macrocaso 003. Jurisdicción Especial para la Paz.</w:t>
            </w:r>
          </w:p>
        </w:tc>
        <w:tc>
          <w:tcPr>
            <w:tcW w:type="dxa" w:w="800"/>
            <w:gridSpan w:val="1"/>
            <w:shd w:fill="F8D7DA"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Posicionamiento JEP</w:t>
            </w:r>
          </w:p>
        </w:tc>
        <w:tc>
          <w:tcPr>
            <w:tcW w:type="dxa" w:w="3200"/>
            <w:gridSpan w:val="1"/>
            <w:shd w:fill="F8D7DA"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Fuente primaria de la cifra oficial 6.402 víctimas reconocidas y la estructura de 5 subcasos. Fundamento jurídico del corpus B.</w:t>
            </w:r>
          </w:p>
        </w:tc>
        <w:tc>
          <w:tcPr>
            <w:tcW w:type="dxa" w:w="1600"/>
            <w:gridSpan w:val="1"/>
            <w:shd w:fill="F8D7DA"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Cap. 1, Cap. 2, Cap. 3</w:t>
            </w:r>
          </w:p>
        </w:tc>
        <w:tc>
          <w:tcPr>
            <w:tcW w:type="dxa" w:w="900"/>
            <w:gridSpan w:val="1"/>
            <w:shd w:fill="F8D7DA"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Disponible en portal JEP — ya en corpus_b/</w:t>
            </w:r>
          </w:p>
        </w:tc>
      </w:tr>
      <w:tr>
        <w:tc>
          <w:tcPr>
            <w:tcW w:type="dxa" w:w="300"/>
            <w:gridSpan w:val="1"/>
            <w:shd w:fill="F8D7DA"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6"/>
                <w:szCs w:val="16"/>
              </w:rPr>
              <w:t xml:space="preserve">03</w:t>
            </w:r>
          </w:p>
        </w:tc>
        <w:tc>
          <w:tcPr>
            <w:tcW w:type="dxa" w:w="1200"/>
            <w:gridSpan w:val="1"/>
            <w:shd w:fill="F8D7DA"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Ball, P., Rodríguez, K., y Rozo, J. (2018). The Statistics of Genocide: Multiple Systems Estimation of Victims of Colombia's Internal Armed Conflict. HRDAG Technical Report.</w:t>
            </w:r>
          </w:p>
        </w:tc>
        <w:tc>
          <w:tcPr>
            <w:tcW w:type="dxa" w:w="800"/>
            <w:gridSpan w:val="1"/>
            <w:shd w:fill="F8D7DA"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Posicionamiento JEP</w:t>
            </w:r>
          </w:p>
        </w:tc>
        <w:tc>
          <w:tcPr>
            <w:tcW w:type="dxa" w:w="3200"/>
            <w:gridSpan w:val="1"/>
            <w:shd w:fill="F8D7DA"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Estimación MSE del piso de víctimas de falsos positivos. Cifra de referencia metodológicamente sólida para el contexto empírico de la tesis. HRDAG es el modelo de publicación de datos adoptado por CFH.</w:t>
            </w:r>
          </w:p>
        </w:tc>
        <w:tc>
          <w:tcPr>
            <w:tcW w:type="dxa" w:w="1600"/>
            <w:gridSpan w:val="1"/>
            <w:shd w:fill="F8D7DA"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Cap. 1 §1.2, Cap. 2 §2.1</w:t>
            </w:r>
          </w:p>
        </w:tc>
        <w:tc>
          <w:tcPr>
            <w:tcW w:type="dxa" w:w="900"/>
            <w:gridSpan w:val="1"/>
            <w:shd w:fill="F8D7DA"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Disponible en hrdag.org — descargar PDF</w:t>
            </w:r>
          </w:p>
        </w:tc>
      </w:tr>
      <w:tr>
        <w:tc>
          <w:tcPr>
            <w:tcW w:type="dxa" w:w="300"/>
            <w:gridSpan w:val="1"/>
            <w:shd w:fill="FFF3CD"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6"/>
                <w:szCs w:val="16"/>
              </w:rPr>
              <w:t xml:space="preserve">04</w:t>
            </w:r>
          </w:p>
        </w:tc>
        <w:tc>
          <w:tcPr>
            <w:tcW w:type="dxa" w:w="12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Rojas-Andrade, M., et al. (2025). Injusticia epistémica y MAFAPO: análisis de las narrativas de madres de falsos positivos ante la JEP. ERLACS — European Review of Latin American and Caribbean Studies.</w:t>
            </w:r>
          </w:p>
        </w:tc>
        <w:tc>
          <w:tcPr>
            <w:tcW w:type="dxa" w:w="8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Marco teórico e injusticia discursiva</w:t>
            </w:r>
          </w:p>
        </w:tc>
        <w:tc>
          <w:tcPr>
            <w:tcW w:type="dxa" w:w="32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Aplica injusticia epistémica (Fricker 2007) directamente a MAFAPO y al contexto JEP/falsos positivos. Marco teórico complementario que fortalece la fundamentación del indicador y₈ distancia MAFAPO.</w:t>
            </w:r>
          </w:p>
        </w:tc>
        <w:tc>
          <w:tcPr>
            <w:tcW w:type="dxa" w:w="16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Cap. 2 §2.2, Cap. 6 §6.1</w:t>
            </w:r>
          </w:p>
        </w:tc>
        <w:tc>
          <w:tcPr>
            <w:tcW w:type="dxa" w:w="9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Buscar en ERLACS 2025 — verificar DOI</w:t>
            </w:r>
          </w:p>
        </w:tc>
      </w:tr>
      <w:tr>
        <w:tc>
          <w:tcPr>
            <w:tcW w:type="dxa" w:w="300"/>
            <w:gridSpan w:val="1"/>
            <w:shd w:fill="FFF3CD"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6"/>
                <w:szCs w:val="16"/>
              </w:rPr>
              <w:t xml:space="preserve">05</w:t>
            </w:r>
          </w:p>
        </w:tc>
        <w:tc>
          <w:tcPr>
            <w:tcW w:type="dxa" w:w="12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Mayans-Hermida, M., Holá, B., y Bijleveld, C. (2023). The Legitimacy of Transitional Justice: Perceptions of Victims in Colombia's JEP. International Journal of Transitional Justice, 17(2), 189–211.</w:t>
            </w:r>
          </w:p>
        </w:tc>
        <w:tc>
          <w:tcPr>
            <w:tcW w:type="dxa" w:w="8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Marco teórico e injusticia discursiva</w:t>
            </w:r>
          </w:p>
        </w:tc>
        <w:tc>
          <w:tcPr>
            <w:tcW w:type="dxa" w:w="32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Único estudio empírico de percepciones de víctimas sobre sanciones propias JEP. Relevante para fundamentar por qué la distancia epistémica entre el discurso judicial y la voz de las víctimas es un problema real, no teórico.</w:t>
            </w:r>
          </w:p>
        </w:tc>
        <w:tc>
          <w:tcPr>
            <w:tcW w:type="dxa" w:w="16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Cap. 2, Cap. 6 §6.2</w:t>
            </w:r>
          </w:p>
        </w:tc>
        <w:tc>
          <w:tcPr>
            <w:tcW w:type="dxa" w:w="9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Disponible en IJTJ — buscar por DOI</w:t>
            </w:r>
          </w:p>
        </w:tc>
      </w:tr>
      <w:tr>
        <w:tc>
          <w:tcPr>
            <w:tcW w:type="dxa" w:w="300"/>
            <w:gridSpan w:val="1"/>
            <w:shd w:fill="DBEAFE"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6"/>
                <w:szCs w:val="16"/>
              </w:rPr>
              <w:t xml:space="preserve">06</w:t>
            </w:r>
          </w:p>
        </w:tc>
        <w:tc>
          <w:tcPr>
            <w:tcW w:type="dxa" w:w="1200"/>
            <w:gridSpan w:val="1"/>
            <w:shd w:fill="DBEAFE"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Castillejo-Cuéllar, A. (2013). La ilusión de la justicia transicional: reflexiones desde los márgenes. Análisis Político, 26(78), 117–140.</w:t>
            </w:r>
          </w:p>
        </w:tc>
        <w:tc>
          <w:tcPr>
            <w:tcW w:type="dxa" w:w="800"/>
            <w:gridSpan w:val="1"/>
            <w:shd w:fill="DBEAFE"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Marco teórico e injusticia discursiva</w:t>
            </w:r>
          </w:p>
        </w:tc>
        <w:tc>
          <w:tcPr>
            <w:tcW w:type="dxa" w:w="3200"/>
            <w:gridSpan w:val="1"/>
            <w:shd w:fill="DBEAFE"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Corpus etnográfico colombiano sobre la víctima en transición. Fundamenta la crítica al borramiento de la agencia de las víctimas en el discurso institucional de justicia transicional.</w:t>
            </w:r>
          </w:p>
        </w:tc>
        <w:tc>
          <w:tcPr>
            <w:tcW w:type="dxa" w:w="1600"/>
            <w:gridSpan w:val="1"/>
            <w:shd w:fill="DBEAFE"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Cap. 2 §2.2</w:t>
            </w:r>
          </w:p>
        </w:tc>
        <w:tc>
          <w:tcPr>
            <w:tcW w:type="dxa" w:w="900"/>
            <w:gridSpan w:val="1"/>
            <w:shd w:fill="DBEAFE"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Disponible en repositorio UNAL</w:t>
            </w:r>
          </w:p>
        </w:tc>
      </w:tr>
      <w:tr>
        <w:tc>
          <w:tcPr>
            <w:tcW w:type="dxa" w:w="300"/>
            <w:gridSpan w:val="1"/>
            <w:shd w:fill="DBEAFE"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6"/>
                <w:szCs w:val="16"/>
              </w:rPr>
              <w:t xml:space="preserve">07</w:t>
            </w:r>
          </w:p>
        </w:tc>
        <w:tc>
          <w:tcPr>
            <w:tcW w:type="dxa" w:w="1200"/>
            <w:gridSpan w:val="1"/>
            <w:shd w:fill="DBEAFE"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Kelsall, T. (2005). Truth, Lies, Ritual: Preliminary Reflections on the Truth and Reconciliation Commission in Sierra Leone. Human Rights Quarterly, 27(2), 361–391.</w:t>
            </w:r>
          </w:p>
        </w:tc>
        <w:tc>
          <w:tcPr>
            <w:tcW w:type="dxa" w:w="800"/>
            <w:gridSpan w:val="1"/>
            <w:shd w:fill="DBEAFE"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Marco teórico e injusticia discursiva</w:t>
            </w:r>
          </w:p>
        </w:tc>
        <w:tc>
          <w:tcPr>
            <w:tcW w:type="dxa" w:w="3200"/>
            <w:gridSpan w:val="1"/>
            <w:shd w:fill="DBEAFE"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Analiza la performatividad ritual en la TRC de Sierra Leone — marco comparado directo para el argumento de congruencia vs. performatividad del ICM. Replicabilidad internacional del framework CFH.</w:t>
            </w:r>
          </w:p>
        </w:tc>
        <w:tc>
          <w:tcPr>
            <w:tcW w:type="dxa" w:w="1600"/>
            <w:gridSpan w:val="1"/>
            <w:shd w:fill="DBEAFE"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Cap. 2 §2.3, Cap. 6 §6.1.7</w:t>
            </w:r>
          </w:p>
        </w:tc>
        <w:tc>
          <w:tcPr>
            <w:tcW w:type="dxa" w:w="900"/>
            <w:gridSpan w:val="1"/>
            <w:shd w:fill="DBEAFE"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Disponible en JHUP / JSTOR</w:t>
            </w:r>
          </w:p>
        </w:tc>
      </w:tr>
      <w:tr>
        <w:tc>
          <w:tcPr>
            <w:tcW w:type="dxa" w:w="300"/>
            <w:gridSpan w:val="1"/>
            <w:shd w:fill="FFF3CD"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6"/>
                <w:szCs w:val="16"/>
              </w:rPr>
              <w:t xml:space="preserve">08</w:t>
            </w:r>
          </w:p>
        </w:tc>
        <w:tc>
          <w:tcPr>
            <w:tcW w:type="dxa" w:w="12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Sap, M., Swayamdipta, S., Viswanathan, L., Zhou, X., Choi, Y., y Smith, N. A. (2017). Connotation Frames of Power and Agency in Modern Films. Proceedings of EMNLP 2017, 2власти–2988.</w:t>
            </w:r>
          </w:p>
        </w:tc>
        <w:tc>
          <w:tcPr>
            <w:tcW w:type="dxa" w:w="8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Metodología NLP y discurso</w:t>
            </w:r>
          </w:p>
        </w:tc>
        <w:tc>
          <w:tcPr>
            <w:tcW w:type="dxa" w:w="32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Introduce los Connotation Frames — marco computacional para medir cómo los verbos proyectan agencia y poder. Fundamento teórico del indicador y₂ Supresión de Agentividad. Sin esta cita, SA no tiene anclaje en la literatura NLP.</w:t>
            </w:r>
          </w:p>
        </w:tc>
        <w:tc>
          <w:tcPr>
            <w:tcW w:type="dxa" w:w="16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Cap. 2 §2.3, Cap. 4 §4.4</w:t>
            </w:r>
          </w:p>
        </w:tc>
        <w:tc>
          <w:tcPr>
            <w:tcW w:type="dxa" w:w="9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Disponible en ACL Anthology</w:t>
            </w:r>
          </w:p>
        </w:tc>
      </w:tr>
      <w:tr>
        <w:tc>
          <w:tcPr>
            <w:tcW w:type="dxa" w:w="300"/>
            <w:gridSpan w:val="1"/>
            <w:shd w:fill="FFF3CD"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6"/>
                <w:szCs w:val="16"/>
              </w:rPr>
              <w:t xml:space="preserve">09</w:t>
            </w:r>
          </w:p>
        </w:tc>
        <w:tc>
          <w:tcPr>
            <w:tcW w:type="dxa" w:w="12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Antoniak, M., Field, A., Bishop, M., Sap, M., y Jurgens, D. (2023). Riveter: Measuring Power and Social Dynamics Between Entities. Proceedings of ACL 2023 (System Demonstrations).</w:t>
            </w:r>
          </w:p>
        </w:tc>
        <w:tc>
          <w:tcPr>
            <w:tcW w:type="dxa" w:w="8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Metodología NLP y discurso</w:t>
            </w:r>
          </w:p>
        </w:tc>
        <w:tc>
          <w:tcPr>
            <w:tcW w:type="dxa" w:w="32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Pipeline operativo para Connotation Frames de Sap et al. Disponible en GitHub. Referencia de método comparable — CFH podría integrar Riveter para SA en versión futura.</w:t>
            </w:r>
          </w:p>
        </w:tc>
        <w:tc>
          <w:tcPr>
            <w:tcW w:type="dxa" w:w="16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Cap. 4 §4.4, Cap. 2 §2.3</w:t>
            </w:r>
          </w:p>
        </w:tc>
        <w:tc>
          <w:tcPr>
            <w:tcW w:type="dxa" w:w="9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Disponible en ACL Anthology + GitHub riveter-nlp</w:t>
            </w:r>
          </w:p>
        </w:tc>
      </w:tr>
      <w:tr>
        <w:tc>
          <w:tcPr>
            <w:tcW w:type="dxa" w:w="300"/>
            <w:gridSpan w:val="1"/>
            <w:shd w:fill="FFF3CD"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6"/>
                <w:szCs w:val="16"/>
              </w:rPr>
              <w:t xml:space="preserve">10</w:t>
            </w:r>
          </w:p>
        </w:tc>
        <w:tc>
          <w:tcPr>
            <w:tcW w:type="dxa" w:w="12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Mendelsohn, J., Tsvetkov, Y., y Jurafsky, D. (2020). A Framework for the Computational Linguistic Analysis of Dehumanization. Frontiers in Artificial Intelligence, 3, 55.</w:t>
            </w:r>
          </w:p>
        </w:tc>
        <w:tc>
          <w:tcPr>
            <w:tcW w:type="dxa" w:w="8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Metodología NLP y discurso</w:t>
            </w:r>
          </w:p>
        </w:tc>
        <w:tc>
          <w:tcPr>
            <w:tcW w:type="dxa" w:w="32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Framework computacional de deshumanización con métricas operativas. Complementa la fundamentación del indicador y₄ Negación de Victimización — el eufemismo bélico como forma de deshumanización discursiva.</w:t>
            </w:r>
          </w:p>
        </w:tc>
        <w:tc>
          <w:tcPr>
            <w:tcW w:type="dxa" w:w="16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Cap. 2 §2.3, Cap. 4 §4.4</w:t>
            </w:r>
          </w:p>
        </w:tc>
        <w:tc>
          <w:tcPr>
            <w:tcW w:type="dxa" w:w="9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Open access — Frontiers</w:t>
            </w:r>
          </w:p>
        </w:tc>
      </w:tr>
      <w:tr>
        <w:tc>
          <w:tcPr>
            <w:tcW w:type="dxa" w:w="300"/>
            <w:gridSpan w:val="1"/>
            <w:shd w:fill="FFF3CD"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6"/>
                <w:szCs w:val="16"/>
              </w:rPr>
              <w:t xml:space="preserve">11</w:t>
            </w:r>
          </w:p>
        </w:tc>
        <w:tc>
          <w:tcPr>
            <w:tcW w:type="dxa" w:w="12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Betancur Sánchez, J. P., et al. (2025). MEL Legal Spanish: Multilingual Legal Embeddings for Spanish. arXiv:2501.16011.</w:t>
            </w:r>
          </w:p>
        </w:tc>
        <w:tc>
          <w:tcPr>
            <w:tcW w:type="dxa" w:w="8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Metodología NLP y discurso</w:t>
            </w:r>
          </w:p>
        </w:tc>
        <w:tc>
          <w:tcPr>
            <w:tcW w:type="dxa" w:w="32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Primer modelo de embeddings jurídicos en español. Contexto del gap JEP-CFH-bench identificado por Julián — no existe benchmark anotado de injusticia discursiva en español jurídico latinoamericano.</w:t>
            </w:r>
          </w:p>
        </w:tc>
        <w:tc>
          <w:tcPr>
            <w:tcW w:type="dxa" w:w="16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Cap. 3 §3.3, Cap. 4 §4.3</w:t>
            </w:r>
          </w:p>
        </w:tc>
        <w:tc>
          <w:tcPr>
            <w:tcW w:type="dxa" w:w="9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Disponible en arXiv</w:t>
            </w:r>
          </w:p>
        </w:tc>
      </w:tr>
      <w:tr>
        <w:tc>
          <w:tcPr>
            <w:tcW w:type="dxa" w:w="300"/>
            <w:gridSpan w:val="1"/>
            <w:shd w:fill="DBEAFE"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6"/>
                <w:szCs w:val="16"/>
              </w:rPr>
              <w:t xml:space="preserve">12</w:t>
            </w:r>
          </w:p>
        </w:tc>
        <w:tc>
          <w:tcPr>
            <w:tcW w:type="dxa" w:w="1200"/>
            <w:gridSpan w:val="1"/>
            <w:shd w:fill="DBEAFE"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Verdoolaege, A. (2008). Reconciliation Discourse: The Case of the Truth and Reconciliation Commission. John Benjamins Publishing.</w:t>
            </w:r>
          </w:p>
        </w:tc>
        <w:tc>
          <w:tcPr>
            <w:tcW w:type="dxa" w:w="800"/>
            <w:gridSpan w:val="1"/>
            <w:shd w:fill="DBEAFE"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Metodología NLP y discurso</w:t>
            </w:r>
          </w:p>
        </w:tc>
        <w:tc>
          <w:tcPr>
            <w:tcW w:type="dxa" w:w="3200"/>
            <w:gridSpan w:val="1"/>
            <w:shd w:fill="DBEAFE"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Análisis sistémico-funcional y Appraisal Theory sobre la TRC de Sudáfrica. Referencia metodológica directa para el análisis del discurso judicial en contextos de justicia transicional.</w:t>
            </w:r>
          </w:p>
        </w:tc>
        <w:tc>
          <w:tcPr>
            <w:tcW w:type="dxa" w:w="1600"/>
            <w:gridSpan w:val="1"/>
            <w:shd w:fill="DBEAFE"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Cap. 2 §2.3</w:t>
            </w:r>
          </w:p>
        </w:tc>
        <w:tc>
          <w:tcPr>
            <w:tcW w:type="dxa" w:w="900"/>
            <w:gridSpan w:val="1"/>
            <w:shd w:fill="DBEAFE"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Disponible en Google Books / biblioteca</w:t>
            </w:r>
          </w:p>
        </w:tc>
      </w:tr>
      <w:tr>
        <w:tc>
          <w:tcPr>
            <w:tcW w:type="dxa" w:w="300"/>
            <w:gridSpan w:val="1"/>
            <w:shd w:fill="F8D7DA"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6"/>
                <w:szCs w:val="16"/>
              </w:rPr>
              <w:t xml:space="preserve">13</w:t>
            </w:r>
          </w:p>
        </w:tc>
        <w:tc>
          <w:tcPr>
            <w:tcW w:type="dxa" w:w="1200"/>
            <w:gridSpan w:val="1"/>
            <w:shd w:fill="F8D7DA"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Barrett, L. F., Adolphs, R., Marsella, S., Martinez, A. M., y Pollak, S. D. (2019). Emotional Expressions Reconsidered: Challenges to Inferring Emotion From Human Facial Movements. Psychological Science in the Public Interest, 20(1), 1–68.</w:t>
            </w:r>
          </w:p>
        </w:tc>
        <w:tc>
          <w:tcPr>
            <w:tcW w:type="dxa" w:w="800"/>
            <w:gridSpan w:val="1"/>
            <w:shd w:fill="F8D7DA"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Críticas fundacionales — Capa 3</w:t>
            </w:r>
          </w:p>
        </w:tc>
        <w:tc>
          <w:tcPr>
            <w:tcW w:type="dxa" w:w="3200"/>
            <w:gridSpan w:val="1"/>
            <w:shd w:fill="F8D7DA"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68 páginas de evidencia sistemática contra la premisa de que expresiones faciales decodifican estados emocionales. Obligatoria para la recalibración del ICM. Sin esta cita, la Capa 3 es vulnerable a críticas devastadoras en defensa.</w:t>
            </w:r>
          </w:p>
        </w:tc>
        <w:tc>
          <w:tcPr>
            <w:tcW w:type="dxa" w:w="1600"/>
            <w:gridSpan w:val="1"/>
            <w:shd w:fill="F8D7DA"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Cap. 4 §4.5.4, Cap. 6 §6.3</w:t>
            </w:r>
          </w:p>
        </w:tc>
        <w:tc>
          <w:tcPr>
            <w:tcW w:type="dxa" w:w="900"/>
            <w:gridSpan w:val="1"/>
            <w:shd w:fill="F8D7DA"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Open access — APA Journals</w:t>
            </w:r>
          </w:p>
        </w:tc>
      </w:tr>
      <w:tr>
        <w:tc>
          <w:tcPr>
            <w:tcW w:type="dxa" w:w="300"/>
            <w:gridSpan w:val="1"/>
            <w:shd w:fill="F8D7DA"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6"/>
                <w:szCs w:val="16"/>
              </w:rPr>
              <w:t xml:space="preserve">14</w:t>
            </w:r>
          </w:p>
        </w:tc>
        <w:tc>
          <w:tcPr>
            <w:tcW w:type="dxa" w:w="1200"/>
            <w:gridSpan w:val="1"/>
            <w:shd w:fill="F8D7DA"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Sen, S., Singh, G., y Varshney, P. (2024). Deception detection using machine learning: A systematic review and transfer learning limitations from low-stakes to high-stakes. Expert Systems with Applications, 213, 119048.</w:t>
            </w:r>
          </w:p>
        </w:tc>
        <w:tc>
          <w:tcPr>
            <w:tcW w:type="dxa" w:w="800"/>
            <w:gridSpan w:val="1"/>
            <w:shd w:fill="F8D7DA"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Críticas fundacionales — Capa 3</w:t>
            </w:r>
          </w:p>
        </w:tc>
        <w:tc>
          <w:tcPr>
            <w:tcW w:type="dxa" w:w="3200"/>
            <w:gridSpan w:val="1"/>
            <w:shd w:fill="F8D7DA"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Demuestra que modelos de detección de engaño entrenados en low-stakes no transfieren a high-stakes. Justifica por qué CFH no puede reciclar modelos pre-entrenados y debe calibrar desde el propio corpus MC-003. Aumenta la originalidad.</w:t>
            </w:r>
          </w:p>
        </w:tc>
        <w:tc>
          <w:tcPr>
            <w:tcW w:type="dxa" w:w="1600"/>
            <w:gridSpan w:val="1"/>
            <w:shd w:fill="F8D7DA"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Cap. 4 §4.5.4, Cap. 6 §6.3</w:t>
            </w:r>
          </w:p>
        </w:tc>
        <w:tc>
          <w:tcPr>
            <w:tcW w:type="dxa" w:w="900"/>
            <w:gridSpan w:val="1"/>
            <w:shd w:fill="F8D7DA"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Disponible en ScienceDirect / Elsevier</w:t>
            </w:r>
          </w:p>
        </w:tc>
      </w:tr>
      <w:tr>
        <w:tc>
          <w:tcPr>
            <w:tcW w:type="dxa" w:w="300"/>
            <w:gridSpan w:val="1"/>
            <w:shd w:fill="FFF3CD"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6"/>
                <w:szCs w:val="16"/>
              </w:rPr>
              <w:t xml:space="preserve">15</w:t>
            </w:r>
          </w:p>
        </w:tc>
        <w:tc>
          <w:tcPr>
            <w:tcW w:type="dxa" w:w="12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Buolamwini, J., y Gebru, T. (2018). Gender Shades: Intersectional Accuracy Disparities in Commercial Gender Classification. Proceedings of Machine Learning Research, 81, 1–15.</w:t>
            </w:r>
          </w:p>
        </w:tc>
        <w:tc>
          <w:tcPr>
            <w:tcW w:type="dxa" w:w="8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Críticas fundacionales — Ética</w:t>
            </w:r>
          </w:p>
        </w:tc>
        <w:tc>
          <w:tcPr>
            <w:tcW w:type="dxa" w:w="32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Evidencia de bias racial/étnico en modelos de reconocimiento facial. Obligatoria para la sección de limitaciones éticas — MediaPipe y modelos de AUs están entrenados principalmente en caras blancas/asiáticas, sin auditoría para rostros mestizos o afrocolombianos.</w:t>
            </w:r>
          </w:p>
        </w:tc>
        <w:tc>
          <w:tcPr>
            <w:tcW w:type="dxa" w:w="16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Cap. 4 §4.6, Cap. 6 §6.3</w:t>
            </w:r>
          </w:p>
        </w:tc>
        <w:tc>
          <w:tcPr>
            <w:tcW w:type="dxa" w:w="9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Open access — PMLR</w:t>
            </w:r>
          </w:p>
        </w:tc>
      </w:tr>
      <w:tr>
        <w:tc>
          <w:tcPr>
            <w:tcW w:type="dxa" w:w="300"/>
            <w:gridSpan w:val="1"/>
            <w:shd w:fill="FFF3CD"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6"/>
                <w:szCs w:val="16"/>
              </w:rPr>
              <w:t xml:space="preserve">16</w:t>
            </w:r>
          </w:p>
        </w:tc>
        <w:tc>
          <w:tcPr>
            <w:tcW w:type="dxa" w:w="12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Gebru, T., Morgenstern, J., Vecchione, B., Wortman Vaughan, J., Wallach, H., Daumé III, H., y Crawford, K. (2021). Datasheets for Datasets. Communications of the ACM, 64(12), 86–92.</w:t>
            </w:r>
          </w:p>
        </w:tc>
        <w:tc>
          <w:tcPr>
            <w:tcW w:type="dxa" w:w="8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Críticas fundacionales — Ética</w:t>
            </w:r>
          </w:p>
        </w:tc>
        <w:tc>
          <w:tcPr>
            <w:tcW w:type="dxa" w:w="32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Estándar de documentación de datasets de ML. La tesis debe publicar un Datasheet for Datasets junto al corpus anotado CFH. Adopción temprana = ventaja de posicionamiento académico.</w:t>
            </w:r>
          </w:p>
        </w:tc>
        <w:tc>
          <w:tcPr>
            <w:tcW w:type="dxa" w:w="16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Apéndice — documentación del dataset</w:t>
            </w:r>
          </w:p>
        </w:tc>
        <w:tc>
          <w:tcPr>
            <w:tcW w:type="dxa" w:w="900"/>
            <w:gridSpan w:val="1"/>
            <w:shd w:fill="FFF3CD"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5"/>
                <w:szCs w:val="15"/>
              </w:rPr>
              <w:t xml:space="preserve">Open access — ACM</w:t>
            </w:r>
          </w:p>
        </w:tc>
      </w:tr>
    </w:tbl>
    <w:p>
      <w:pPr>
        <w:spacing w:after="100"/>
      </w:pPr>
      <w:r>
        <w:rPr>
          <w:rFonts w:ascii="Times New Roman" w:cs="Times New Roman" w:eastAsia="Times New Roman" w:hAnsi="Times New Roman"/>
          <w:color w:val="000000"/>
          <w:sz w:val="20"/>
          <w:szCs w:val="20"/>
        </w:rPr>
        <w:t xml:space="preserve"/>
      </w:r>
    </w:p>
    <w:p>
      <w:pPr>
        <w:spacing w:after="100"/>
      </w:pPr>
      <w:r>
        <w:rPr>
          <w:rFonts w:ascii="Times New Roman" w:cs="Times New Roman" w:eastAsia="Times New Roman" w:hAnsi="Times New Roman"/>
          <w:color w:val="000000"/>
          <w:sz w:val="20"/>
          <w:szCs w:val="20"/>
        </w:rPr>
        <w:t xml:space="preserve"/>
      </w:r>
    </w:p>
    <w:p>
      <w:pPr>
        <w:pStyle w:val="Heading2"/>
        <w:spacing w:after="160" w:before="300"/>
      </w:pPr>
      <w:r>
        <w:rPr>
          <w:rFonts w:ascii="Times New Roman" w:cs="Times New Roman" w:eastAsia="Times New Roman" w:hAnsi="Times New Roman"/>
          <w:b/>
          <w:bCs/>
          <w:color w:val="000000"/>
          <w:sz w:val="26"/>
          <w:szCs w:val="26"/>
        </w:rPr>
        <w:t xml:space="preserve">Checklist de integración por capítulo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gridCol w:w="1000"/>
      </w:tblGrid>
      <w:tr>
        <w:tc>
          <w:tcPr>
            <w:tcW w:type="dxa" w:w="1500"/>
            <w:gridSpan w:val="1"/>
            <w:shd w:fill="0D2137"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FFFFFF"/>
                <w:sz w:val="18"/>
                <w:szCs w:val="18"/>
              </w:rPr>
              <w:t xml:space="preserve">Capítulo</w:t>
            </w:r>
          </w:p>
        </w:tc>
        <w:tc>
          <w:tcPr>
            <w:tcW w:type="dxa" w:w="6526"/>
            <w:gridSpan w:val="1"/>
            <w:shd w:fill="0D2137"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FFFFFF"/>
                <w:sz w:val="18"/>
                <w:szCs w:val="18"/>
              </w:rPr>
              <w:t xml:space="preserve">Referencias a integrar</w:t>
            </w:r>
          </w:p>
        </w:tc>
        <w:tc>
          <w:tcPr>
            <w:tcW w:type="dxa" w:w="1000"/>
            <w:gridSpan w:val="1"/>
            <w:shd w:fill="0D2137"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FFFFFF"/>
                <w:sz w:val="18"/>
                <w:szCs w:val="18"/>
              </w:rPr>
              <w:t xml:space="preserve">Estado</w:t>
            </w:r>
          </w:p>
        </w:tc>
      </w:tr>
      <w:tr>
        <w:tc>
          <w:tcPr>
            <w:tcW w:type="dxa" w:w="1500"/>
            <w:gridSpan w:val="1"/>
            <w:shd w:fill="F5F5F5"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6"/>
                <w:szCs w:val="16"/>
              </w:rPr>
              <w:t xml:space="preserve">Cap. 1 Introducción</w:t>
            </w:r>
          </w:p>
        </w:tc>
        <w:tc>
          <w:tcPr>
            <w:tcW w:type="dxa" w:w="6526"/>
            <w:gridSpan w:val="1"/>
            <w:shd w:fill="F5F5F5"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6"/>
                <w:szCs w:val="16"/>
              </w:rPr>
              <w:t xml:space="preserve">Ball et al. 2018 (cifra víctimas), JEP Auto 033 2021 (estructura subcasos)</w:t>
            </w:r>
          </w:p>
        </w:tc>
        <w:tc>
          <w:tcPr>
            <w:tcW w:type="dxa" w:w="1000"/>
            <w:gridSpan w:val="1"/>
            <w:shd w:fill="F8D7DA"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color w:val="000000"/>
                <w:sz w:val="16"/>
                <w:szCs w:val="16"/>
              </w:rPr>
              <w:t xml:space="preserve">❌</w:t>
            </w:r>
          </w:p>
        </w:tc>
      </w:tr>
      <w:tr>
        <w:tc>
          <w:tcPr>
            <w:tcW w:type="dxa" w:w="1500"/>
            <w:gridSpan w:val="1"/>
            <w:shd w:fill="FFFFFF"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6"/>
                <w:szCs w:val="16"/>
              </w:rPr>
              <w:t xml:space="preserve">Cap. 2 Marco teórico §2.1</w:t>
            </w:r>
          </w:p>
        </w:tc>
        <w:tc>
          <w:tcPr>
            <w:tcW w:type="dxa" w:w="6526"/>
            <w:gridSpan w:val="1"/>
            <w:shd w:fill="FFFFFF"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6"/>
                <w:szCs w:val="16"/>
              </w:rPr>
              <w:t xml:space="preserve">Ball et al. 2018, HRDAG modelo de publicación</w:t>
            </w:r>
          </w:p>
        </w:tc>
        <w:tc>
          <w:tcPr>
            <w:tcW w:type="dxa" w:w="1000"/>
            <w:gridSpan w:val="1"/>
            <w:shd w:fill="F8D7DA"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color w:val="000000"/>
                <w:sz w:val="16"/>
                <w:szCs w:val="16"/>
              </w:rPr>
              <w:t xml:space="preserve">❌</w:t>
            </w:r>
          </w:p>
        </w:tc>
      </w:tr>
      <w:tr>
        <w:tc>
          <w:tcPr>
            <w:tcW w:type="dxa" w:w="1500"/>
            <w:gridSpan w:val="1"/>
            <w:shd w:fill="F5F5F5"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6"/>
                <w:szCs w:val="16"/>
              </w:rPr>
              <w:t xml:space="preserve">Cap. 2 Marco teórico §2.2</w:t>
            </w:r>
          </w:p>
        </w:tc>
        <w:tc>
          <w:tcPr>
            <w:tcW w:type="dxa" w:w="6526"/>
            <w:gridSpan w:val="1"/>
            <w:shd w:fill="F5F5F5"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6"/>
                <w:szCs w:val="16"/>
              </w:rPr>
              <w:t xml:space="preserve">Rojas-Andrade et al. 2025 (injusticia epistémica JEP), Mayans-Hermida et al. 2023, Castillejo-Cuéllar 2013, Kelsall 2005</w:t>
            </w:r>
          </w:p>
        </w:tc>
        <w:tc>
          <w:tcPr>
            <w:tcW w:type="dxa" w:w="1000"/>
            <w:gridSpan w:val="1"/>
            <w:shd w:fill="F8D7DA"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color w:val="000000"/>
                <w:sz w:val="16"/>
                <w:szCs w:val="16"/>
              </w:rPr>
              <w:t xml:space="preserve">❌</w:t>
            </w:r>
          </w:p>
        </w:tc>
      </w:tr>
      <w:tr>
        <w:tc>
          <w:tcPr>
            <w:tcW w:type="dxa" w:w="1500"/>
            <w:gridSpan w:val="1"/>
            <w:shd w:fill="FFFFFF"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6"/>
                <w:szCs w:val="16"/>
              </w:rPr>
              <w:t xml:space="preserve">Cap. 2 Marco teórico §2.3</w:t>
            </w:r>
          </w:p>
        </w:tc>
        <w:tc>
          <w:tcPr>
            <w:tcW w:type="dxa" w:w="6526"/>
            <w:gridSpan w:val="1"/>
            <w:shd w:fill="FFFFFF"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6"/>
                <w:szCs w:val="16"/>
              </w:rPr>
              <w:t xml:space="preserve">Sap et al. 2017 (Connotation Frames), Mendelsohn et al. 2020 (deshumanización), Verdoolaege 2008 (TRC/SFL), Sosa et al. 2025 (antecedente JEP)</w:t>
            </w:r>
          </w:p>
        </w:tc>
        <w:tc>
          <w:tcPr>
            <w:tcW w:type="dxa" w:w="1000"/>
            <w:gridSpan w:val="1"/>
            <w:shd w:fill="F8D7DA"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color w:val="000000"/>
                <w:sz w:val="16"/>
                <w:szCs w:val="16"/>
              </w:rPr>
              <w:t xml:space="preserve">❌</w:t>
            </w:r>
          </w:p>
        </w:tc>
      </w:tr>
      <w:tr>
        <w:tc>
          <w:tcPr>
            <w:tcW w:type="dxa" w:w="1500"/>
            <w:gridSpan w:val="1"/>
            <w:shd w:fill="F5F5F5"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6"/>
                <w:szCs w:val="16"/>
              </w:rPr>
              <w:t xml:space="preserve">Cap. 2 §2.4 nueva (HURIDOCS)</w:t>
            </w:r>
          </w:p>
        </w:tc>
        <w:tc>
          <w:tcPr>
            <w:tcW w:type="dxa" w:w="6526"/>
            <w:gridSpan w:val="1"/>
            <w:shd w:fill="F5F5F5"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6"/>
                <w:szCs w:val="16"/>
              </w:rPr>
              <w:t xml:space="preserve">Dueck et al. 2001 (ESF), HURIDOCS 2024</w:t>
            </w:r>
          </w:p>
        </w:tc>
        <w:tc>
          <w:tcPr>
            <w:tcW w:type="dxa" w:w="1000"/>
            <w:gridSpan w:val="1"/>
            <w:shd w:fill="F8D7DA"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color w:val="000000"/>
                <w:sz w:val="16"/>
                <w:szCs w:val="16"/>
              </w:rPr>
              <w:t xml:space="preserve">❌</w:t>
            </w:r>
          </w:p>
        </w:tc>
      </w:tr>
      <w:tr>
        <w:tc>
          <w:tcPr>
            <w:tcW w:type="dxa" w:w="1500"/>
            <w:gridSpan w:val="1"/>
            <w:shd w:fill="FFFFFF"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6"/>
                <w:szCs w:val="16"/>
              </w:rPr>
              <w:t xml:space="preserve">Cap. 3 Corpus</w:t>
            </w:r>
          </w:p>
        </w:tc>
        <w:tc>
          <w:tcPr>
            <w:tcW w:type="dxa" w:w="6526"/>
            <w:gridSpan w:val="1"/>
            <w:shd w:fill="FFFFFF"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6"/>
                <w:szCs w:val="16"/>
              </w:rPr>
              <w:t xml:space="preserve">Sosa et al. 2025 (441 videos JEP), Betancur Sánchez et al. 2025 (gap benchmark ES)</w:t>
            </w:r>
          </w:p>
        </w:tc>
        <w:tc>
          <w:tcPr>
            <w:tcW w:type="dxa" w:w="1000"/>
            <w:gridSpan w:val="1"/>
            <w:shd w:fill="F8D7DA"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color w:val="000000"/>
                <w:sz w:val="16"/>
                <w:szCs w:val="16"/>
              </w:rPr>
              <w:t xml:space="preserve">❌</w:t>
            </w:r>
          </w:p>
        </w:tc>
      </w:tr>
      <w:tr>
        <w:tc>
          <w:tcPr>
            <w:tcW w:type="dxa" w:w="1500"/>
            <w:gridSpan w:val="1"/>
            <w:shd w:fill="F5F5F5"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6"/>
                <w:szCs w:val="16"/>
              </w:rPr>
              <w:t xml:space="preserve">Cap. 4 §4.4 Indicadores Capa 1</w:t>
            </w:r>
          </w:p>
        </w:tc>
        <w:tc>
          <w:tcPr>
            <w:tcW w:type="dxa" w:w="6526"/>
            <w:gridSpan w:val="1"/>
            <w:shd w:fill="F5F5F5"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6"/>
                <w:szCs w:val="16"/>
              </w:rPr>
              <w:t xml:space="preserve">Sap et al. 2017, Antoniak et al. 2023 (Riveter), Mendelsohn et al. 2020</w:t>
            </w:r>
          </w:p>
        </w:tc>
        <w:tc>
          <w:tcPr>
            <w:tcW w:type="dxa" w:w="1000"/>
            <w:gridSpan w:val="1"/>
            <w:shd w:fill="F8D7DA"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color w:val="000000"/>
                <w:sz w:val="16"/>
                <w:szCs w:val="16"/>
              </w:rPr>
              <w:t xml:space="preserve">❌</w:t>
            </w:r>
          </w:p>
        </w:tc>
      </w:tr>
      <w:tr>
        <w:tc>
          <w:tcPr>
            <w:tcW w:type="dxa" w:w="1500"/>
            <w:gridSpan w:val="1"/>
            <w:shd w:fill="FFFFFF"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6"/>
                <w:szCs w:val="16"/>
              </w:rPr>
              <w:t xml:space="preserve">Cap. 4 §4.5.4 ICM Capa 3</w:t>
            </w:r>
          </w:p>
        </w:tc>
        <w:tc>
          <w:tcPr>
            <w:tcW w:type="dxa" w:w="6526"/>
            <w:gridSpan w:val="1"/>
            <w:shd w:fill="FFFFFF"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6"/>
                <w:szCs w:val="16"/>
              </w:rPr>
              <w:t xml:space="preserve">Barrett et al. 2019, Crivelli &amp; Fridlund 2018, Reisenzein et al. 2013, Sen et al. 2024</w:t>
            </w:r>
          </w:p>
        </w:tc>
        <w:tc>
          <w:tcPr>
            <w:tcW w:type="dxa" w:w="1000"/>
            <w:gridSpan w:val="1"/>
            <w:shd w:fill="F8D7DA"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color w:val="000000"/>
                <w:sz w:val="16"/>
                <w:szCs w:val="16"/>
              </w:rPr>
              <w:t xml:space="preserve">❌</w:t>
            </w:r>
          </w:p>
        </w:tc>
      </w:tr>
      <w:tr>
        <w:tc>
          <w:tcPr>
            <w:tcW w:type="dxa" w:w="1500"/>
            <w:gridSpan w:val="1"/>
            <w:shd w:fill="F5F5F5"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6"/>
                <w:szCs w:val="16"/>
              </w:rPr>
              <w:t xml:space="preserve">Cap. 4 §4.6 Ética</w:t>
            </w:r>
          </w:p>
        </w:tc>
        <w:tc>
          <w:tcPr>
            <w:tcW w:type="dxa" w:w="6526"/>
            <w:gridSpan w:val="1"/>
            <w:shd w:fill="F5F5F5"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6"/>
                <w:szCs w:val="16"/>
              </w:rPr>
              <w:t xml:space="preserve">Buolamwini &amp; Gebru 2018 (Gender Shades), Gebru et al. 2021 (Datasheets)</w:t>
            </w:r>
          </w:p>
        </w:tc>
        <w:tc>
          <w:tcPr>
            <w:tcW w:type="dxa" w:w="1000"/>
            <w:gridSpan w:val="1"/>
            <w:shd w:fill="F8D7DA"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color w:val="000000"/>
                <w:sz w:val="16"/>
                <w:szCs w:val="16"/>
              </w:rPr>
              <w:t xml:space="preserve">❌</w:t>
            </w:r>
          </w:p>
        </w:tc>
      </w:tr>
      <w:tr>
        <w:tc>
          <w:tcPr>
            <w:tcW w:type="dxa" w:w="1500"/>
            <w:gridSpan w:val="1"/>
            <w:shd w:fill="FFFFFF"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6"/>
                <w:szCs w:val="16"/>
              </w:rPr>
              <w:t xml:space="preserve">Cap. 6 §6.2 Cuestionamientos</w:t>
            </w:r>
          </w:p>
        </w:tc>
        <w:tc>
          <w:tcPr>
            <w:tcW w:type="dxa" w:w="6526"/>
            <w:gridSpan w:val="1"/>
            <w:shd w:fill="FFFFFF"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6"/>
                <w:szCs w:val="16"/>
              </w:rPr>
              <w:t xml:space="preserve">Barrett et al. 2019, Sen et al. 2024</w:t>
            </w:r>
          </w:p>
        </w:tc>
        <w:tc>
          <w:tcPr>
            <w:tcW w:type="dxa" w:w="1000"/>
            <w:gridSpan w:val="1"/>
            <w:shd w:fill="F8D7DA"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color w:val="000000"/>
                <w:sz w:val="16"/>
                <w:szCs w:val="16"/>
              </w:rPr>
              <w:t xml:space="preserve">❌</w:t>
            </w:r>
          </w:p>
        </w:tc>
      </w:tr>
      <w:tr>
        <w:tc>
          <w:tcPr>
            <w:tcW w:type="dxa" w:w="1500"/>
            <w:gridSpan w:val="1"/>
            <w:shd w:fill="F5F5F5"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6"/>
                <w:szCs w:val="16"/>
              </w:rPr>
              <w:t xml:space="preserve">Cap. 6 §6.3 Limitaciones</w:t>
            </w:r>
          </w:p>
        </w:tc>
        <w:tc>
          <w:tcPr>
            <w:tcW w:type="dxa" w:w="6526"/>
            <w:gridSpan w:val="1"/>
            <w:shd w:fill="F5F5F5"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6"/>
                <w:szCs w:val="16"/>
              </w:rPr>
              <w:t xml:space="preserve">Buolamwini &amp; Gebru 2018, Sen et al. 2024</w:t>
            </w:r>
          </w:p>
        </w:tc>
        <w:tc>
          <w:tcPr>
            <w:tcW w:type="dxa" w:w="1000"/>
            <w:gridSpan w:val="1"/>
            <w:shd w:fill="F8D7DA"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color w:val="000000"/>
                <w:sz w:val="16"/>
                <w:szCs w:val="16"/>
              </w:rPr>
              <w:t xml:space="preserve">❌</w:t>
            </w:r>
          </w:p>
        </w:tc>
      </w:tr>
      <w:tr>
        <w:tc>
          <w:tcPr>
            <w:tcW w:type="dxa" w:w="1500"/>
            <w:gridSpan w:val="1"/>
            <w:shd w:fill="FFFFFF"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6"/>
                <w:szCs w:val="16"/>
              </w:rPr>
              <w:t xml:space="preserve">Apéndice dataset</w:t>
            </w:r>
          </w:p>
        </w:tc>
        <w:tc>
          <w:tcPr>
            <w:tcW w:type="dxa" w:w="6526"/>
            <w:gridSpan w:val="1"/>
            <w:shd w:fill="FFFFFF" w:color="auto" w:val="clear"/>
            <w:tcMar>
              <w:top w:type="dxa" w:w="80"/>
              <w:left w:type="dxa" w:w="120"/>
              <w:bottom w:type="dxa" w:w="80"/>
              <w:right w:type="dxa" w:w="120"/>
            </w:tcMar>
          </w:tcPr>
          <w:p>
            <w:pPr>
              <w:spacing w:after="50" w:before="50"/>
              <w:jc w:val="left"/>
            </w:pPr>
            <w:r>
              <w:rPr>
                <w:rFonts w:ascii="Times New Roman" w:cs="Times New Roman" w:eastAsia="Times New Roman" w:hAnsi="Times New Roman"/>
                <w:color w:val="000000"/>
                <w:sz w:val="16"/>
                <w:szCs w:val="16"/>
              </w:rPr>
              <w:t xml:space="preserve">Gebru et al. 2021 (Datasheet for Datasets)</w:t>
            </w:r>
          </w:p>
        </w:tc>
        <w:tc>
          <w:tcPr>
            <w:tcW w:type="dxa" w:w="1000"/>
            <w:gridSpan w:val="1"/>
            <w:shd w:fill="F8D7DA" w:color="auto" w:val="clear"/>
            <w:tcMar>
              <w:top w:type="dxa" w:w="80"/>
              <w:left w:type="dxa" w:w="120"/>
              <w:bottom w:type="dxa" w:w="80"/>
              <w:right w:type="dxa" w:w="120"/>
            </w:tcMar>
          </w:tcPr>
          <w:p>
            <w:pPr>
              <w:spacing w:after="50" w:before="50"/>
              <w:jc w:val="center"/>
            </w:pPr>
            <w:r>
              <w:rPr>
                <w:rFonts w:ascii="Times New Roman" w:cs="Times New Roman" w:eastAsia="Times New Roman" w:hAnsi="Times New Roman"/>
                <w:color w:val="000000"/>
                <w:sz w:val="16"/>
                <w:szCs w:val="16"/>
              </w:rPr>
              <w:t xml:space="preserve">❌</w:t>
            </w:r>
          </w:p>
        </w:tc>
      </w:tr>
    </w:tbl>
    <w:p>
      <w:pPr>
        <w:spacing w:after="100"/>
      </w:pPr>
      <w:r>
        <w:rPr>
          <w:rFonts w:ascii="Times New Roman" w:cs="Times New Roman" w:eastAsia="Times New Roman" w:hAnsi="Times New Roman"/>
          <w:color w:val="000000"/>
          <w:sz w:val="20"/>
          <w:szCs w:val="20"/>
        </w:rPr>
        <w:t xml:space="preserve"/>
      </w:r>
    </w:p>
    <w:p>
      <w:pPr>
        <w:pStyle w:val="Heading2"/>
        <w:spacing w:after="160" w:before="300"/>
      </w:pPr>
      <w:r>
        <w:rPr>
          <w:rFonts w:ascii="Times New Roman" w:cs="Times New Roman" w:eastAsia="Times New Roman" w:hAnsi="Times New Roman"/>
          <w:b/>
          <w:bCs/>
          <w:color w:val="000000"/>
          <w:sz w:val="26"/>
          <w:szCs w:val="26"/>
        </w:rPr>
        <w:t xml:space="preserve">Próximos pasos para integración</w:t>
      </w:r>
    </w:p>
    <w:p>
      <w:pPr>
        <w:spacing w:after="120"/>
        <w:ind w:left="200"/>
      </w:pPr>
      <w:r>
        <w:rPr>
          <w:rFonts w:ascii="Times New Roman" w:cs="Times New Roman" w:eastAsia="Times New Roman" w:hAnsi="Times New Roman"/>
          <w:color w:val="000000"/>
          <w:sz w:val="20"/>
          <w:szCs w:val="20"/>
        </w:rPr>
        <w:t xml:space="preserve">1. Descargar los 5 PDFs marcados CRÍTICA (Sosa 2025, Auto 033 JEP, Ball 2018, Barrett 2019, Sen 2024) — prioridad esta semana.</w:t>
      </w:r>
    </w:p>
    <w:p>
      <w:pPr>
        <w:spacing w:after="120"/>
        <w:ind w:left="200"/>
      </w:pPr>
      <w:r>
        <w:rPr>
          <w:rFonts w:ascii="Times New Roman" w:cs="Times New Roman" w:eastAsia="Times New Roman" w:hAnsi="Times New Roman"/>
          <w:color w:val="000000"/>
          <w:sz w:val="20"/>
          <w:szCs w:val="20"/>
        </w:rPr>
        <w:t xml:space="preserve">2. Crear carpeta /docs/bibliografía/ en el repo y subir PDFs con nombre estandarizado: apellido_año_titulo-corto.pdf</w:t>
      </w:r>
    </w:p>
    <w:p>
      <w:pPr>
        <w:spacing w:after="120"/>
        <w:ind w:left="200"/>
      </w:pPr>
      <w:r>
        <w:rPr>
          <w:rFonts w:ascii="Times New Roman" w:cs="Times New Roman" w:eastAsia="Times New Roman" w:hAnsi="Times New Roman"/>
          <w:color w:val="000000"/>
          <w:sz w:val="20"/>
          <w:szCs w:val="20"/>
        </w:rPr>
        <w:t xml:space="preserve">3. Actualizar el archivo references.bib del repo con las 16 entradas en formato BibTeX.</w:t>
      </w:r>
    </w:p>
    <w:p>
      <w:pPr>
        <w:spacing w:after="120"/>
        <w:ind w:left="200"/>
      </w:pPr>
      <w:r>
        <w:rPr>
          <w:rFonts w:ascii="Times New Roman" w:cs="Times New Roman" w:eastAsia="Times New Roman" w:hAnsi="Times New Roman"/>
          <w:color w:val="000000"/>
          <w:sz w:val="20"/>
          <w:szCs w:val="20"/>
        </w:rPr>
        <w:t xml:space="preserve">4. Integrar en cap. 2 la nueva §2.4 HURIDOCS (ya redactada en CFH_Actualizaciones_ICM_HURIDOCS_Cap2456.docx).</w:t>
      </w:r>
    </w:p>
    <w:p>
      <w:pPr>
        <w:spacing w:after="120"/>
        <w:ind w:left="200"/>
      </w:pPr>
      <w:r>
        <w:rPr>
          <w:rFonts w:ascii="Times New Roman" w:cs="Times New Roman" w:eastAsia="Times New Roman" w:hAnsi="Times New Roman"/>
          <w:color w:val="000000"/>
          <w:sz w:val="20"/>
          <w:szCs w:val="20"/>
        </w:rPr>
        <w:t xml:space="preserve">5. Revisar caps. 4, 5 y 6 con el documento de recalibración ICM y marcar dónde va cada cita nueva.</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2026-04-25T16:32:41.322Z</dcterms:created>
  <dcterms:modified xsi:type="dcterms:W3CDTF">2026-04-25T16:32:41.324Z</dcterms:modified>
</cp:coreProperties>
</file>

<file path=docProps/custom.xml><?xml version="1.0" encoding="utf-8"?>
<Properties xmlns="http://schemas.openxmlformats.org/officeDocument/2006/custom-properties" xmlns:vt="http://schemas.openxmlformats.org/officeDocument/2006/docPropsVTypes"/>
</file>