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ind w:firstLine="720"/>
        <w:jc w:val="both"/>
      </w:pPr>
      <w:r>
        <w:rPr>
          <w:rFonts w:ascii="Times New Roman" w:cs="Times New Roman" w:eastAsia="Times New Roman" w:hAnsi="Times New Roman"/>
          <w:color w:val="000000"/>
          <w:sz w:val="24"/>
          <w:szCs w:val="24"/>
        </w:rPr>
        <w:t xml:space="preserve">El primer hallazgo central es que el REP Score del Corpus B (JEP, media=0.153) es significativamente mayor que el del Corpus A (justicia ordinaria, media=0.086), con una brecha de +0.067 y p&lt;0.001. Adicionalmente, el Corpus B está significativamente más cercano al lenguaje de MAFAPO (y₈: 0.191 vs 0.211, p&lt;0.001) y al lenguaje de la CIDH (y₉: 0.235 vs 0.254, p&lt;0.001). La convergencia de cuatro indicadores independientes con p&lt;0.001 en la misma dirección constituye evidencia robusta de la brecha discursiva entre los dos sistemas de justicia.</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idéntica en ambos (0.191), pero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La tabla completa de los seis indicadores CFH para el Corpus C (Tabla 5.13) permite una comparación sistemática entre subcasos que ningún indicador individual puede ofrecer. El hallazgo más relevante para la teoría de la justicia transicional es que Dabeiba — el subcaso con mayor materialidad del acto de reconocimiento (49 fosas del cementerio Las Mercedes) — presenta el perfil de mayor congruencia discursiva multi-canal (ICM_tri=0.493), mientras Catatumbo — la primera audiencia del Macrocaso 003, descrita como catarsis colectiva — presenta el perfil de mayor tensión entre gramática directa y distancia semántica de las víctimas.</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6.1.7 El patrón de genuinidad facial — hallazgo Capa 3</w:t>
      </w:r>
    </w:p>
    <w:p>
      <w:pPr>
        <w:spacing w:after="200" w:line="360" w:lineRule="auto"/>
        <w:ind w:firstLine="720"/>
        <w:jc w:val="both"/>
      </w:pPr>
      <w:r>
        <w:rPr>
          <w:rFonts w:ascii="Times New Roman" w:cs="Times New Roman" w:eastAsia="Times New Roman" w:hAnsi="Times New Roman"/>
          <w:color w:val="000000"/>
          <w:sz w:val="24"/>
          <w:szCs w:val="24"/>
        </w:rPr>
        <w:t xml:space="preserve">El hallazgo de la Capa 3 multimodal es un patrón diferenciado de congruencia comunicativa entre subcasos, analizado mediante Action Units faciales con MediaPipe FaceLandmarker sobre los segmentos diarizados de los comparecientes en 4 de 5 audiencias del Corpus C, con detección optimizada (40-93% por audiencia).</w:t>
      </w:r>
    </w:p>
    <w:p>
      <w:pPr>
        <w:spacing w:after="200" w:line="360" w:lineRule="auto"/>
        <w:ind w:firstLine="720"/>
        <w:jc w:val="both"/>
      </w:pPr>
      <w:r>
        <w:rPr>
          <w:sz w:val="24"/>
          <w:szCs w:val="24"/>
        </w:rPr>
        <w:t xml:space="preserve">El hallazgo de la Capa 3 multimodal es un patrón diferenciado de congruencia comunicativa entre subcasos: General/Casanare (ICM=0.190) &lt; Capitán, subcaso Catatumbo/Catatumbo (ICM=0.272) &lt; Soldados/Huila (ICM=0.299) &lt; Oficial/Dabeiba (ICM=0.353). Es imprescindible declarar los límites epistemológicos de este hallazgo. Conforme a Barrett et al. (2019), no existe evidencia de que la culpa tenga un display facial discreto universalmente identificable. El ICM no mide sinceridad individual. La interpretación correcta es: el subcaso Casanare presenta el patrón de menor congruencia multimodal del corpus (ICM=0.190, dominancia AU12 sonrisa), mientras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faciales no han sido auditados sobre rostros mestizos o afrocolombianos (Buolamwini y Gebru, 2018), limitando la generalización.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Lo que sí se confirma es el extremo inferior del patrón: el General, subcaso Casanare tiene consistentemente el ICM más bajo (0.190) — mayor sonrisa (AU12=0.091) y menor ceño (AU4=0.076) que cualquier otro compareciente del corpus. Este perfil facial es el más consistente con baja congruencia multimodal: General, subcaso Casanare es el compareciente de mayor rango del corpus, con mayor experiencia en comunicación institucional y mayor incentivo para proteger su imagen ante la comunidad internacional. En el extremo opuesto, Dabeiba presenta el mayor distress relativo (AU4=0.371) con la menor sonrisa entre las audiencias con buena detección.</w:t>
      </w:r>
    </w:p>
    <w:p>
      <w:pPr>
        <w:spacing w:after="200" w:line="360" w:lineRule="auto"/>
        <w:ind w:firstLine="720"/>
        <w:jc w:val="both"/>
      </w:pPr>
      <w:r>
        <w:rPr>
          <w:sz w:val="24"/>
          <w:szCs w:val="24"/>
        </w:rPr>
        <w:t xml:space="preserve">El canal prosódico (ICM vocal) confirma y matiza el hallazgo facial. Dabeiba mantiene el patrón de mayor congruencia también en el canal vocal (ICM_vocal=0.452), mientras Casanare presenta una paradoja: su ICM vocal es alto (0.415, mayor shimmer del corpus=1.42 dB, indicando alta carga emocional prosódica) pero su ICM facial es el más bajo (0.190). Esta divergencia entre canales (Δ=0.225) es la más alta del corpus y el hallazgo más interpretativo de la Capa 3: la voz del General, subcaso Casanare comunica distress prosódico mientras su cara comunica sonrisa. Los dos canales apuntan en direcciones opuestas — el patrón más alejado de la congruencia multimodal en el corpus.</w:t>
      </w:r>
    </w:p>
    <w:p>
      <w:pPr>
        <w:spacing w:after="200" w:line="360" w:lineRule="auto"/>
        <w:ind w:firstLine="720"/>
        <w:jc w:val="both"/>
      </w:pPr>
      <w:r>
        <w:rPr>
          <w:sz w:val="24"/>
          <w:szCs w:val="24"/>
        </w:rPr>
        <w:t xml:space="preserve">El ICM tri-canal (0.40×facial + 0.40×vocal + 0.20×verbal) produce un ranking que difiere en un aspecto significativo del ICM facial: Catatumbo pasa de segundo a último lugar (0.236) porque su canal verbal es el más distante del lenguaje de MAFAPO (y₈=0.207). Este resultado sugiere que el Capitán, subcaso Catatumbo, pese a mostrar mayor congruencia facial-vocal, habla en la audiencia con el mayor distanciamiento semántico respecto al lenguaje de las víctimas — el canal que más importa para la reparación simbólica. Dabeiba consolida el primer lugar en ICM tri-canal (0.493): materialidad concreta del reconocimiento (49 fosas), alta congruencia prosódica y cercanía semántica a MAFAPO convergen en el patrón de mayor congruencia tri-canal del corpus.</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(General, subcaso Casanare) presenta el perfil de mayor distancia discursiva multi-indicador: mayor y₂ SA (0.974), mayor y₄ NV (0.483) y segundo ICM_tri más bajo (0.375). La voz comunica distress prosódico alto (shimmer=1.42 dB, el mayor del corpus) mientras la cara comunica sonrisa (AU12=0.091, el mayor del corpus) — los canales apuntan en direcciones opuestas (Δ vocal-facial=0.225).
Catatumbo (Capitán, subcaso Catatumbo) produce el hallazgo más contraintuitivo: menor y₂ SA (0.532) y menor y₄ NV (0.220) — el discurso más gramaticalmente directo y con menor negación de victimización — pero ICM_tri más bajo del corpus (0.236) porque su canal semántico es el más distante del lenguaje de MAFAPO (y₈=0.207). Habla directamente pero habla lejos de las víctimas.
Dabeiba (Oficial) consolida el perfil de mayor congruencia: segundo menor y₄ NV (0.211), ICM facial más alto (0.353), ICM vocal más alto (0.452), ICM_tri más alto (0.493) y distancia MAFAPO baja (y₈=0.189). La materialidad del reconocimiento — 49 fosas físicamente recuperadas en el cementerio Las Mercedes — correlaciona con el perfil más coherente entre canales.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subcaso Catatumbo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Una limitación metodológica importante es que la baja detección facial en Dabeiba (40%) afecta la robustez de su ICM — los 168 segmentos detectados sobre 424 totales pueden no ser representativos. La validación del patrón requeriría mayor tasa de detección o una fuente de video alternativa. Costa Caribe (subcaso La Popa, julio 2022) fue incorporado al análisis con diarización completada el 01/06/2026 (10.46h, 5,717 segmentos). ICM_tri=0.171, cong_injusta=True. El análisis del Corpus C cubre ahora los 5/5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no pudo ser procesado por restricciones DRM en el video fuente; el análisis textual y de diarización sí fue completado (588 bloques).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ind w:firstLine="720"/>
        <w:jc w:val="both"/>
      </w:pPr>
      <w:r>
        <w:rPr>
          <w:rFonts w:ascii="Times New Roman" w:cs="Times New Roman" w:eastAsia="Times New Roman" w:hAnsi="Times New Roman"/>
          <w:color w:val="000000"/>
          <w:sz w:val="24"/>
          <w:szCs w:val="24"/>
        </w:rPr>
        <w:t xml:space="preserve">El test Mann-Whitney U tiene el supuesto de independencia de observaciones parcialmente comprometido por la estructura anidada del corpus. El path analysis exploratorio tiene ajuste moderado (CFI=0.619) — aceptable para análisis exploratorio pero no definitivo. El modelo SEM con variables latentes no fue estimable con los indicadores disponibles.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 Validación perceptual del ICM: correlación entre ICM calculado y percepción humana de sinceridad sobre muestra del Corpus C (Baird y Coutinho, 2019).</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jc w:val="both"/>
        <w:spacing w:after="160" w:line="340"/>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Bhatia, V. K. (1993). Analysing Genre: Language Use in Professional Settings. Longman.</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(2022). Resoluciones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Noble, S. U. (2018). Algorithms of Oppression. New York University Press.</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Swales, J. M. (1990). Genre Analysis: English in Academic and Research Settings. Cambridge University Press.</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2026-04-16T03:10:35.378Z</dcterms:created>
  <dcterms:modified xsi:type="dcterms:W3CDTF">2026-04-16T03:10:35.379Z</dcterms:modified>
</cp:coreProperties>
</file>

<file path=docProps/custom.xml><?xml version="1.0" encoding="utf-8"?>
<Properties xmlns="http://schemas.openxmlformats.org/officeDocument/2006/custom-properties" xmlns:vt="http://schemas.openxmlformats.org/officeDocument/2006/docPropsVTypes"/>
</file>