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CC0000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🍁  GOVERNMENT OF CANADA</w:t>
            </w:r>
          </w:p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Algorithmic Impact Assessment (AIA)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CCCC"/>
                <w:sz w:val="22"/>
                <w:szCs w:val="22"/>
              </w:rPr>
              <w:t xml:space="preserve">Evaluación item por ítem — Framework CFH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CCCC"/>
                <w:sz w:val="18"/>
                <w:szCs w:val="18"/>
              </w:rPr>
              <w:t xml:space="preserve">Treasury Board of Canada Secretariat — Directive on Automated Decision-Making (2019)</w:t>
            </w:r>
          </w:p>
          <w:p>
            <w:pPr>
              <w:spacing w:after="200" w:before="20"/>
              <w:jc w:val="center"/>
            </w:pPr>
            <w:r>
              <w:rPr>
                <w:rFonts w:ascii="Arial" w:cs="Arial" w:eastAsia="Arial" w:hAnsi="Arial"/>
                <w:color w:val="FFCCCC"/>
                <w:sz w:val="16"/>
                <w:szCs w:val="16"/>
              </w:rPr>
              <w:t xml:space="preserve">URL: https://www.canada.ca/en/government/system/digital-government/digital-government-innovations/responsible-use-ai/algorithmic-impact-assessment.html</w:t>
            </w:r>
          </w:p>
        </w:tc>
      </w:tr>
    </w:tbl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3"/>
        <w:gridCol w:w="4533"/>
      </w:tblGrid>
      <w:tr>
        <w:tc>
          <w:tcPr>
            <w:tcW w:type="dxa" w:w="4533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20"/>
                <w:szCs w:val="20"/>
              </w:rPr>
              <w:t xml:space="preserve">Sistema evaluado: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CFH — Hermenéutica Forense Computacional</w:t>
            </w:r>
          </w:p>
          <w:p>
            <w:r>
              <w:rPr>
                <w:rFonts w:ascii="Arial" w:cs="Arial" w:eastAsia="Arial" w:hAnsi="Arial"/>
                <w:b/>
                <w:bCs/>
                <w:color w:val="003087"/>
                <w:sz w:val="20"/>
                <w:szCs w:val="20"/>
              </w:rPr>
              <w:t xml:space="preserve">Nivel de impacto AIA proyectado: </w:t>
            </w:r>
            <w:r>
              <w:rPr>
                <w:rFonts w:ascii="Arial" w:cs="Arial" w:eastAsia="Arial" w:hAnsi="Arial"/>
                <w:b/>
                <w:bCs/>
                <w:color w:val="7D5A0A"/>
                <w:sz w:val="20"/>
                <w:szCs w:val="20"/>
              </w:rPr>
              <w:t xml:space="preserve">Nivel II-III (impacto significativo sobre personas)</w:t>
            </w:r>
          </w:p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La AIA está diseñada para sistemas gubernamentales canadienses. Se aplica aquí como referencia comparativa de mejores prácticas internacionales.</w:t>
            </w:r>
          </w:p>
        </w:tc>
        <w:tc>
          <w:tcPr>
            <w:tcW w:type="dxa" w:w="4533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20"/>
                <w:szCs w:val="20"/>
              </w:rPr>
              <w:t xml:space="preserve">Secciones evaluadas: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 áreas del AIA</w:t>
            </w:r>
          </w:p>
          <w:p>
            <w:r>
              <w:rPr>
                <w:rFonts w:ascii="Arial" w:cs="Arial" w:eastAsia="Arial" w:hAnsi="Arial"/>
                <w:b/>
                <w:bCs/>
                <w:color w:val="1E7C2F"/>
                <w:sz w:val="20"/>
                <w:szCs w:val="20"/>
              </w:rPr>
              <w:t xml:space="preserve">Ítems SI/CUMPLE: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</w:t>
            </w:r>
          </w:p>
          <w:p>
            <w:r>
              <w:rPr>
                <w:rFonts w:ascii="Arial" w:cs="Arial" w:eastAsia="Arial" w:hAnsi="Arial"/>
                <w:b/>
                <w:bCs/>
                <w:color w:val="7D5A0A"/>
                <w:sz w:val="20"/>
                <w:szCs w:val="20"/>
              </w:rPr>
              <w:t xml:space="preserve">Ítems PARCIAL: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</w:t>
            </w:r>
          </w:p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Ítems NO/PENDIENTE: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</w:tr>
    </w:tbl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Sección 1 — Información del proyecto y del sistema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780"/>
        <w:gridCol w:w="2600"/>
        <w:gridCol w:w="1686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AIA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en CFH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¿El sistema toma decisiones automatizadas que afecten directamente a personas?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❌ 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CFH es herramienta de análisis académico. No toma decisiones judiciales ni administrativas.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Mitigación ya implementada. Riesgo bajo en esta dimensión.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¿El sistema es utilizado por una institución pública en procesos de toma de decisiones?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Uso actual: investigación académica. Uso propuesto: colaboración con JEP (análisis aplicado).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 la JEP adopta los índices como insumo formal, el sistema entra en uso gubernamental.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Definir en convenio JEP si los resultados son insumo formal o referencia académica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¿El sistema procesa datos personales sensibles (biométricos, salud, origen racial)?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SI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Imágenes faciales (AUs MediaPipe) y features de voz (eGeMAPS) son datos sensibles bajo Ley 1581 Art.5.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Base legal: Art.10(c) Ley 1581. DPIA v1.0 elaborada.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F0-H1: Registro SIC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¿El sistema es reproducible y auditable por terceros?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Código en GitHub (Apache 2.0). DVC versionado. MLflow tracking. Semillas fijas.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Dataset anotado no publicable (restricción biométrica). Modelo CFH-BERT v2 no publicado aún.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F0-H5: Model Card + GitHub</w:t>
            </w:r>
          </w:p>
        </w:tc>
      </w:tr>
    </w:tbl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Sección 2 — Automatización de decisiones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780"/>
        <w:gridCol w:w="2600"/>
        <w:gridCol w:w="1686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AIA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en CFH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¿El sistema reemplaza o asiste en decisiones que anteriormente eran tomadas por humanos?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El análisis textual a escala (873 secciones) no es replicable manualmente. El ICM provee info multimodal que humanos no pueden sistematizar a escala.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Asistencia, no reemplazo. La interpretación final siempre es humana (investigadora, JEP).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¿Las personas afectadas pueden impugnar las decisiones derivadas del sistema?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SI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CFH no produce decisiones. Resultados son indicadores de investigación académica. Sin mecanismo de impugnación requerido.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 la JEP usa los índices formalmente, se requeriría protocolo de impugnación.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Incluir cláusula en convenio JEP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¿Existe supervisión humana en el loop de producción de resultados?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SI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 investigadora supervisa e interpreta todos los outputs. Salvaguardas epistemológicas del ICM requieren mediación humana explícita.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</w:tbl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Sección 3 — Calidad y representatividad de los datos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780"/>
        <w:gridCol w:w="2600"/>
        <w:gridCol w:w="1686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AIA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en CFH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¿Los datos de entrenamiento son representativos de la población afectada?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n=100 anotaciones. NV n=8 (escasa). Corpus B dominante (66%). Comparecientes: solo subcasos con video.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Dataset pequeño. Representatividad demográfica (mestizos, afrocolombianos) sin auditoría.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F0-H2: Gender Shades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¿Existen sesgos documentados en los datos?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Desbalance clases declarado (§6.3.2). Sesgo temporal del corpus A parcialmente temporal (§5.7.1). Rango detección facial 53pp.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Sesgo racial MediaPipe no cuantificado formalmente.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F0-H2 urgente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¿La calidad de los datos ha sido evaluada formalmente?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Tests T3.1-T3.3 del Governance Audit: entropía corpus 0.728, cobertura 88%, gaps temporales = ninguno.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Sin protocolo formal de control de calidad de datos (Data Quality Plan documentado).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Elaborar Data Quality Plan v1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¿Los datos provienen de fuentes públicas con base legal clara?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SI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Audiencias JEP públicas (función jurisdiccional). Sentencias CE/CSJ publicación obligatoria. MAFAPO comunicados voluntarios.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</w:tbl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Sección 4 — Explicabilidad y transparencia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780"/>
        <w:gridCol w:w="2600"/>
        <w:gridCol w:w="1686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AIA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en CFH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¿Se puede explicar cómo el sistema llega a sus resultados?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SI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Fórmulas DIS, IEI, ICM con pesos y justificación teórica. Path analysis β explícitos. Model Card CFH-BERT v2.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¿Las personas afectadas son informadas de que un sistema automatizado analiza sus datos?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❌ 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Audiencias públicas procesadas sin notificación a comparecientes del análisis computacional específico.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Carta JEP resolvería parcialmente. Obligación de información bajo Ley 1581 pendiente.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F0-H1: carta JEP + registro SIC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¿El sistema tiene documentación técnica accesible?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Tesis (público agosto 2026). Código en GitHub. Governance Report y Model Card en repositorio.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Model Card no publicado aún en GitHub.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F0-H5: publicar Model Card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¿Los usuarios finales de los resultados reciben guía para interpretarlos?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Propuesta JEP incluye "Protocolo de interpretación" como Entregable 3 del análisis aplicado.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Protocolo no elaborado aún. Pendiente para Fase 1.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Fase 1: Componente A entregable 3</w:t>
            </w:r>
          </w:p>
        </w:tc>
      </w:tr>
    </w:tbl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Sección 5 — Rendición de cuentas y gobernanza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780"/>
        <w:gridCol w:w="2600"/>
        <w:gridCol w:w="1686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AIA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en CFH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¿Existe un responsable claramente identificado para el sistema?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SI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Mireya Camacho Celis — responsable única del framework CFH y del tratamiento de datos.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¿El sistema ha sido auditado por un tercero independiente?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❌ 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Auditoría interna (Governance Audit Suite v1.0). Sin auditoría externa independiente.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Para uso operativo con JEP, auditoría de tercero sería recomendable.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Considerar en Fase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¿Existen mecanismos de monitoreo continuo del sistema en producción?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MLflow tracking para experimentos. DVC versionado de datos. Sin monitoreo de deriva de modelo en producción.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Framework no está en producción aún. Implementar si se adopta uso operativo por JEP.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Definir en convenio JEP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¿El sistema tiene un registro de cambios (changelog) documentado?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✅ SI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CFH-BERT v1→v2 documentado con métricas comparativas (Tabla 5.4). ICM v1→v2 documentado. Fases de trabajo en §16 doc. maestro.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</w:tr>
    </w:tbl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Sección 6 — Equidad y no discriminación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780"/>
        <w:gridCol w:w="2600"/>
        <w:gridCol w:w="1686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AIA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en CFH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¿El sistema ha sido evaluado para detectar discriminación por raza, género u origen?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Análisis de disparidad tasas detección (T1.2): χ²=820.6, rango 53pp. Correlación rango-ICM (T1.3): ρ=-0.60, no significativa.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Auditoría intersectional formal (Gender Shades) pendiente. Causa del rango no determinada.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F0-H2: URGENTE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¿Los datos de entrenamiento incluyen representación adecuada de grupos vulnerables?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Comparecientes: 4 subcasos, múltiples rangos. Sin representación explícita de grupos demográficos en anotación.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Anotadores y comparecientes no categorizados por etnia/género en el dataset.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Documentar al expandir dataset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¿El sistema puede producir resultados diferenciados según el grupo demográfico?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Tasas de detección facial varían 40-93% entre subcasos. Impacto en ICM facial potencialmente diferencial.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Sin cuantificación del impacto en justicia/equidad del sesgo de detección.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F0-H2: cuantificar impacto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¿Existen mecanismos de recurso para grupos afectados negativamente?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CFH no produce decisiones directas. Las salvaguardas epistemológicas mitigan uso individual.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 la JEP usa los índices formalmente, se requieren mecanismos de recurso explícitos.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Cláusula en convenio JEP</w:t>
            </w:r>
          </w:p>
        </w:tc>
      </w:tr>
    </w:tbl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Sección 7 — Seguridad y privacidad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780"/>
        <w:gridCol w:w="2600"/>
        <w:gridCol w:w="1686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AIA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en CFH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¿Los datos están protegidos contra acceso no autorizado?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Repositorio GitHub privado durante la tesis. Datos biométricos solo localmente. Sin cifrado formal.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Sin protocolo formal de cifrado de datos en reposo.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Documentar en Data Security Plan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¿El sistema ha sido evaluado para detectar vulnerabilidades de seguridad?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❌ 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 adversarial sobre CFH-BERT no ejecutado (MEASURE 2.10 pendiente).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Vulnerabilidad a perturbaciones de texto no evaluada.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Fase 1: test adversarial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¿Existe un plan de respuesta a brechas de datos?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❌ 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 documentado formalmente.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Plan de respuesta a incidentes de seguridad ausente.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Elaborar Data Breach Response Plan</w:t>
            </w:r>
          </w:p>
        </w:tc>
      </w:tr>
    </w:tbl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Resumen ejecutivo — Nivel de impacto AIA y plan de acción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6"/>
        <w:gridCol w:w="2266"/>
        <w:gridCol w:w="2267"/>
        <w:gridCol w:w="2267"/>
      </w:tblGrid>
      <w:tr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Total preguntas AIA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SI / CUMPLE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PARCIAL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NO / PENDIENTE</w:t>
            </w:r>
          </w:p>
        </w:tc>
      </w:tr>
      <w:tr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6"/>
                <w:szCs w:val="26"/>
              </w:rPr>
              <w:t xml:space="preserve">26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26"/>
                <w:szCs w:val="26"/>
              </w:rPr>
              <w:t xml:space="preserve">8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26"/>
                <w:szCs w:val="26"/>
              </w:rPr>
              <w:t xml:space="preserve">14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6"/>
                <w:szCs w:val="26"/>
              </w:rPr>
              <w:t xml:space="preserve">4</w:t>
            </w:r>
          </w:p>
        </w:tc>
      </w:tr>
    </w:tbl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003087"/>
          <w:sz w:val="20"/>
          <w:szCs w:val="20"/>
        </w:rPr>
        <w:t xml:space="preserve">Score ponderado: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58%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 (comparable a Nivel II AIA — "impacto significativo, auditoría recomendada")</w:t>
      </w:r>
    </w:p>
    <w:p>
      <w:r>
        <w:rPr>
          <w:rFonts w:ascii="Arial" w:cs="Arial" w:eastAsia="Arial" w:hAnsi="Arial"/>
          <w:b/>
          <w:bCs/>
          <w:color w:val="003087"/>
          <w:sz w:val="20"/>
          <w:szCs w:val="20"/>
        </w:rPr>
        <w:t xml:space="preserve">Nivel de impacto proyectado: </w:t>
      </w:r>
      <w:r>
        <w:rPr>
          <w:rFonts w:ascii="Arial" w:cs="Arial" w:eastAsia="Arial" w:hAnsi="Arial"/>
          <w:b/>
          <w:bCs/>
          <w:color w:val="7D5A0A"/>
          <w:sz w:val="20"/>
          <w:szCs w:val="20"/>
        </w:rPr>
        <w:t xml:space="preserve">NIVEL II — sistemas que asisten en decisiones con impacto sobre derechos de personas, con datos sensibles.</w:t>
      </w:r>
    </w:p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Qué significa Nivel II AIA: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El sistema requiere: revisión periódica por el responsable, notificación a las personas afectadas de que sus datos son procesados, y que los outputs no sean usados como único fundamento de decisiones. Los tres requisitos están parcialmente cubiertos o en proceso de cubrirse.</w:t>
      </w:r>
    </w:p>
    <w:p>
      <w:r>
        <w:rPr>
          <w:rFonts w:ascii="Arial" w:cs="Arial" w:eastAsia="Arial" w:hAnsi="Arial"/>
          <w:color w:val="404040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3087"/>
          <w:sz w:val="23"/>
          <w:szCs w:val="23"/>
        </w:rPr>
        <w:t xml:space="preserve">Plan de acción priorizado según AIA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400"/>
        <w:gridCol w:w="3286"/>
        <w:gridCol w:w="16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Ítems AIA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F0-H1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Registro SIC como Responsable del Tratamiento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Ítems 3, 13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F0-H2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Auditoría intersectional MediaPipe (Gender Shades)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Ítems 8, 9, 20, 22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F0-H5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Publicar Model Card CFH-BERT v2 en GitHub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Ítems 4, 14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F0-H1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Carta JEP confirmando base legal del análisis computacional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Ítem 13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Fase 1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Elaborar Protocolo de interpretación (Entregable 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Ítem 15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Fase 1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 adversarial sobre CFH-BERT 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Ítem 25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A"/>
                <w:sz w:val="19"/>
                <w:szCs w:val="19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DPIA v2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Elaborar Data Breach Response 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Ítem 26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Fase 2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Auditoría externa independiente si uso operativo JEP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Ítem 17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2F"/>
                <w:sz w:val="19"/>
                <w:szCs w:val="19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Convenio JEP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Cláusula de mecanismo de recurso para afectados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Ítems 6, 23</w:t>
            </w:r>
          </w:p>
        </w:tc>
      </w:tr>
    </w:tbl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CC000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0308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2026-05-12T20:15:59.514Z</dcterms:created>
  <dcterms:modified xsi:type="dcterms:W3CDTF">2026-05-12T20:15:59.514Z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