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Times New Roman" w:cs="Times New Roman" w:eastAsia="Times New Roman" w:hAnsi="Times New Roman"/>
          <w:b/>
          <w:bCs/>
          <w:color w:val="0D2137"/>
          <w:sz w:val="36"/>
          <w:szCs w:val="36"/>
        </w:rPr>
        <w:t xml:space="preserve">HERMENÉUTICA FORENSE COMPUTACIONAL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Resumen ejecutivo para reunión con director de tesis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595959"/>
          <w:sz w:val="22"/>
          <w:szCs w:val="22"/>
        </w:rPr>
        <w:t xml:space="preserve">Mireya Camacho Celis | Ciencia de Datos | Universidad Externado de Colombia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color w:val="595959"/>
          <w:sz w:val="22"/>
          <w:szCs w:val="22"/>
        </w:rPr>
        <w:t xml:space="preserve">Abril de 2026</w:t>
      </w:r>
    </w:p>
    <w:p>
      <w:pPr>
        <w:pBdr>
          <w:bottom w:val="single" w:color="0D9488" w:sz="6" w:space="1"/>
        </w:pBdr>
        <w:spacing w:after="400"/>
      </w:pPr>
    </w:p>
    <w:p>
      <w:pPr>
        <w:pStyle w:val="Heading1"/>
        <w:spacing w:after="200" w:before="400"/>
        <w:outlineLvl w:val="0"/>
      </w:pPr>
      <w:r>
        <w:rPr>
          <w:rFonts w:ascii="Times New Roman" w:cs="Times New Roman" w:eastAsia="Times New Roman" w:hAnsi="Times New Roman"/>
          <w:b/>
          <w:bCs/>
          <w:color w:val="0D2137"/>
          <w:sz w:val="28"/>
          <w:szCs w:val="28"/>
        </w:rPr>
        <w:t xml:space="preserve">1. ¿Qué es la CFH?</w:t>
      </w:r>
    </w:p>
    <w:p>
      <w:pPr>
        <w:spacing w:after="180" w:line="34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 Hermenéutica Forense Computacional (CFH) es un marco teórico-metodológico original para medir cuantitativamente la injusticia discursiva en el archivo judicial colombiano sobre los falsos positivos del Macrocaso 003 de la JEP. La pregunta central de la investigación es: ¿el lenguaje de la JEP representa una ruptura epistémica real y cuantificable respecto a la justicia ordinaria en la forma en que se refiere a las víctimas civiles de ejecuciones extrajudiciales?</w:t>
      </w:r>
    </w:p>
    <w:p>
      <w:pPr>
        <w:spacing w:after="180" w:line="34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Fundamento teórico: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violencia cultural (Galtung, 1990) + justicia como reconocimiento (Fraser, 1995) + análisis crítico del discurso (van Dijk, 2008). La tesis propone el concepto de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reparación algorítmica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: el uso de la IA para auditar el lenguaje del Estado desde la perspectiva de las víctimas.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1"/>
        <w:spacing w:after="200" w:before="400"/>
        <w:outlineLvl w:val="0"/>
      </w:pPr>
      <w:r>
        <w:rPr>
          <w:rFonts w:ascii="Times New Roman" w:cs="Times New Roman" w:eastAsia="Times New Roman" w:hAnsi="Times New Roman"/>
          <w:b/>
          <w:bCs/>
          <w:color w:val="0D2137"/>
          <w:sz w:val="28"/>
          <w:szCs w:val="28"/>
        </w:rPr>
        <w:t xml:space="preserve">2. El corpus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100"/>
        <w:gridCol w:w="1400"/>
        <w:gridCol w:w="4026"/>
      </w:tblGrid>
      <w:tr>
        <w:tc>
          <w:tcPr>
            <w:tcW w:type="dxa" w:w="15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Docs</w:t>
            </w:r>
          </w:p>
        </w:tc>
        <w:tc>
          <w:tcPr>
            <w:tcW w:type="dxa" w:w="11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Unidades</w:t>
            </w:r>
          </w:p>
        </w:tc>
        <w:tc>
          <w:tcPr>
            <w:tcW w:type="dxa" w:w="1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4026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A-CE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520 sec.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1994–2021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Consejo de Estado — reparación directa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A-CSJ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299 sec.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2012–2020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Corte Suprema Sala Penal — casación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B-JEP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 sec.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2018–2023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Autos y resoluciones SRVR — Macrocaso 003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C-JEP oral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588 bloques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2020–2024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Audiencias JEP — 45.9h transcritas con Whisper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1"/>
        <w:spacing w:after="200" w:before="400"/>
        <w:outlineLvl w:val="0"/>
      </w:pPr>
      <w:r>
        <w:rPr>
          <w:rFonts w:ascii="Times New Roman" w:cs="Times New Roman" w:eastAsia="Times New Roman" w:hAnsi="Times New Roman"/>
          <w:b/>
          <w:bCs/>
          <w:color w:val="0D2137"/>
          <w:sz w:val="28"/>
          <w:szCs w:val="28"/>
        </w:rPr>
        <w:t xml:space="preserve">3. Taxonomía CFH — cuatro mecanismos discursivos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3200"/>
        <w:gridCol w:w="4026"/>
      </w:tblGrid>
      <w:tr>
        <w:tc>
          <w:tcPr>
            <w:tcW w:type="dxa" w:w="8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4026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EBI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Eufemismo Bélico-Institucional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Reemplaza la denominación de un homicidio por una denominación militar legítima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«dado de baja», «baja en combate», «abatido en enfrentamiento»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Supresión de Agentividad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Oculta al agente responsable mediante pasivas o nominalizaciones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«fue presentado como guerrillero», «se procedió conforme al protocolo»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Negación de Victimización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Recategoriza a la persona asesinada como combatiente o sujeto ilegítimo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«integrante del grupo armado», «persona que delinquía»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Ruptura Epistémica Positiva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Reconoce explícitamente la condición de víctima civil o adopta el marco DIH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«víctima civil inocente», «acepto mi responsabilidad», «violación del DIH»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200" w:before="400"/>
        <w:outlineLvl w:val="0"/>
      </w:pPr>
      <w:r>
        <w:rPr>
          <w:rFonts w:ascii="Times New Roman" w:cs="Times New Roman" w:eastAsia="Times New Roman" w:hAnsi="Times New Roman"/>
          <w:b/>
          <w:bCs/>
          <w:color w:val="0D2137"/>
          <w:sz w:val="28"/>
          <w:szCs w:val="28"/>
        </w:rPr>
        <w:t xml:space="preserve">4. Resultados principales</w:t>
      </w:r>
    </w:p>
    <w:p>
      <w:pPr>
        <w:pStyle w:val="Heading2"/>
        <w:spacing w:after="140" w:before="300"/>
        <w:outlineLvl w:val="1"/>
      </w:pPr>
      <w:r>
        <w:rPr>
          <w:rFonts w:ascii="Times New Roman" w:cs="Times New Roman" w:eastAsia="Times New Roman" w:hAnsi="Times New Roman"/>
          <w:b/>
          <w:bCs/>
          <w:color w:val="0D9488"/>
          <w:sz w:val="24"/>
          <w:szCs w:val="24"/>
        </w:rPr>
        <w:t xml:space="preserve">4.1 Brecha discursiva — 5 de 6 indicadores significativos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200"/>
        <w:gridCol w:w="2826"/>
      </w:tblGrid>
      <w:tr>
        <w:tc>
          <w:tcPr>
            <w:tcW w:type="dxa" w:w="28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1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A</w:t>
            </w:r>
          </w:p>
        </w:tc>
        <w:tc>
          <w:tcPr>
            <w:tcW w:type="dxa" w:w="11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Corpus B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p-valor</w:t>
            </w:r>
          </w:p>
        </w:tc>
        <w:tc>
          <w:tcPr>
            <w:tcW w:type="dxa" w:w="2826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Dirección predicha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y₁₀ REP Score (transición epistémica)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0.153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B &gt;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y₃ Distancia léxico civil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0.987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B &lt; A (más cercano)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y₄ NV Score (violencia discursiva)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0.028 *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A &gt;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y₈ Dist. MAFAPO — ConfliBERT-ES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0.191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B más cercano a víctimas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y₉ Dist. CIDH — ConfliBERT-ES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0.235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&lt;0.001 ***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B más cercano al DIH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y₂ SA Score (supresión agentividad)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n.s.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Transversal al género jurídico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40" w:before="300"/>
        <w:outlineLvl w:val="1"/>
      </w:pPr>
      <w:r>
        <w:rPr>
          <w:rFonts w:ascii="Times New Roman" w:cs="Times New Roman" w:eastAsia="Times New Roman" w:hAnsi="Times New Roman"/>
          <w:b/>
          <w:bCs/>
          <w:color w:val="0D9488"/>
          <w:sz w:val="24"/>
          <w:szCs w:val="24"/>
        </w:rPr>
        <w:t xml:space="preserve">4.2 Hallazgos destacados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color w:val="0D2137"/>
          <w:sz w:val="22"/>
          <w:szCs w:val="22"/>
        </w:rPr>
        <w:t xml:space="preserve">Control temporal: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 brecha semántica (y₈, y₉) es estructural — persiste comparando documentos del mismo período histórico 2018-2023 (p&lt;0.001). No es un artefacto temporal.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color w:val="0D2137"/>
          <w:sz w:val="22"/>
          <w:szCs w:val="22"/>
        </w:rPr>
        <w:t xml:space="preserve">Predictor principal: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y₃ distancia léxico-civil es el predictor más fuerte de la transición epistémica (β=−5.337, p&lt;0.001) en el análisis de senderos. La adopción del vocabulario de las víctimas, más que la reducción del encubrimiento, es el mecanismo central de la transformación discursiva de la JEP.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color w:val="0D2137"/>
          <w:sz w:val="22"/>
          <w:szCs w:val="22"/>
        </w:rPr>
        <w:t xml:space="preserve">Corpus C oral: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Corpus C oral (45.9h audiencias) está igual de cercano al lenguaje de MAFAPO que el Corpus B escrito (y₈=0.191), pero más alejado del lenguaje técnico del DIH (y₉=0.263). Las audiencias usan lenguaje más cotidiano.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color w:val="0D2137"/>
          <w:sz w:val="22"/>
          <w:szCs w:val="22"/>
        </w:rPr>
        <w:t xml:space="preserve">NV cuestionado: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 sección RECONOCIMIENTO del Corpus B tiene el REP más alto (máx=0.849) pero también el NV más alto del Corpus B — los comparecientes citan el vocabulario militar para refutarlo.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40" w:before="300"/>
        <w:outlineLvl w:val="1"/>
      </w:pPr>
      <w:r>
        <w:rPr>
          <w:rFonts w:ascii="Times New Roman" w:cs="Times New Roman" w:eastAsia="Times New Roman" w:hAnsi="Times New Roman"/>
          <w:b/>
          <w:bCs/>
          <w:color w:val="0D9488"/>
          <w:sz w:val="24"/>
          <w:szCs w:val="24"/>
        </w:rPr>
        <w:t xml:space="preserve">4.3 CFH-BERT v2 — clasificador supervisado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200"/>
        <w:gridCol w:w="1026"/>
      </w:tblGrid>
      <w:t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macro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REP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EBI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SA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NV</w:t>
            </w:r>
          </w:p>
        </w:tc>
        <w:tc>
          <w:tcPr>
            <w:tcW w:type="dxa" w:w="1026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 — BIO, 9 clases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v2 — IO + weighted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0.32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Mejora (Δ)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+0.31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+0.06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+0.05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+0.04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+0.28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+0.05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140" w:before="300"/>
        <w:outlineLvl w:val="1"/>
      </w:pPr>
      <w:r>
        <w:rPr>
          <w:rFonts w:ascii="Times New Roman" w:cs="Times New Roman" w:eastAsia="Times New Roman" w:hAnsi="Times New Roman"/>
          <w:b/>
          <w:bCs/>
          <w:color w:val="0D9488"/>
          <w:sz w:val="24"/>
          <w:szCs w:val="24"/>
        </w:rPr>
        <w:t xml:space="preserve">4.4 Modelo SEM — estado actual y camino al modelo completo</w:t>
      </w:r>
    </w:p>
    <w:p>
      <w:pPr>
        <w:spacing w:after="180" w:line="34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SEM es el marco analítico central de la tesis. Permite estimar variables latentes no observables directamente (violencia discursiva, transición epistémica) y probar relaciones estructurales entre ellas. Actualmente se cuenta con 8 de 11 indicadores calculados. Los 3 pendientes bloquean la identificabilidad del modelo completo.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200"/>
        <w:gridCol w:w="2000"/>
        <w:gridCol w:w="2626"/>
      </w:tblGrid>
      <w:tr>
        <w:tc>
          <w:tcPr>
            <w:tcW w:type="dxa" w:w="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 latente</w:t>
            </w:r>
          </w:p>
        </w:tc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626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Desbloquea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EBI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ξ₁ Violencia Discursiva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⏳ Pendiente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completo — requiere CFH-BERT κ&gt;0.80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ξ₁ Violencia Discursiva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Calculado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Dist. léxico civil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ξ₁ Violencia Discursiva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Calculado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NV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ξ₁ Violencia Discursiva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Calculado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Tipo corpus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ξ₂ Contexto Institucional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Calculado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Período normativo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ξ₂ Contexto Institucional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Calculado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Surprisal Peace-LM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η₁ DIS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⏳ Pendiente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η₁ identificable — requiere Peace-LM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Dist. MAFAPO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η₁ DIS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Calculado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ConfliBERT-Spanish — 25 textos reales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Dist. CIDH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η₁ DIS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Calculado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ConfliBERT-Spanish — 25 sentencias CIDH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y₁₀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η₂ Transición Epistémica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Calculado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y₁₁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Conv. restaurativa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η₂ Transición Epistémica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⏳ Pendiente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η₂ identificable — centroide restaurativo JEP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y₁₂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Features acústicas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η₂ Transición Epistémica (oral)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🔄 Corpus C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OpenSMILE — pendiente diarización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180" w:line="34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path analysis actual (CFI=0.619, RMSEA=0.437, n=873) es el mejor modelo estimable con los indicadores disponibles. Se evaluaron 7 variantes de modelo — la Opción B path analysis fue la única con ajuste aceptable y coeficientes significativos. El SEM completo con los 11 indicadores se estimará en mayo 2026 una vez alcanzado κ&gt;0.80 en el IAA.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5026"/>
      </w:tblGrid>
      <w:tr>
        <w:tc>
          <w:tcPr>
            <w:tcW w:type="dxa" w:w="28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Modelo evaluado</w:t>
            </w:r>
          </w:p>
        </w:tc>
        <w:tc>
          <w:tcPr>
            <w:tcW w:type="dxa" w:w="1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CFI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RMSEA</w:t>
            </w:r>
          </w:p>
        </w:tc>
        <w:tc>
          <w:tcPr>
            <w:tcW w:type="dxa" w:w="5026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— Un factor latente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1.167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 No reportable — RMSEA &gt;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 — Path analysis (MEJOR)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0.619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0.437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✓ Reportable como exploratorio — todos los paths p&lt;0.05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saturado — con covarianzas residuales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 No reportable — modelo saturado, DoF=6, sin poder de prueba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 — CFA xi1 solo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-0.297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∞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 No convergió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 — Con corpus_type como covariable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0.437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 corpus_type no significativo — y₃ absorbe su efecto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 — Modelo de mediación y₃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-0.296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1.525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 No convergió — y₃ no es predicha por y₂/y₄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200" w:before="400"/>
        <w:outlineLvl w:val="0"/>
      </w:pPr>
      <w:r>
        <w:rPr>
          <w:rFonts w:ascii="Times New Roman" w:cs="Times New Roman" w:eastAsia="Times New Roman" w:hAnsi="Times New Roman"/>
          <w:b/>
          <w:bCs/>
          <w:color w:val="0D2137"/>
          <w:sz w:val="28"/>
          <w:szCs w:val="28"/>
        </w:rPr>
        <w:t xml:space="preserve">5. Estado actual de la tesis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326"/>
      </w:tblGrid>
      <w:tr>
        <w:tc>
          <w:tcPr>
            <w:tcW w:type="dxa" w:w="35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326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Cap. 1 Introducción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Cap. 2 Estado del Arte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Cap. 3 Marco Teórico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Cap. 4 Metodología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Actualizado con ConfliBERT-Spanish y Corpus 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Cap. 5 Resultados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indicadores + Corpus C + CFH-BERT v2 + path analysis + control temporal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Cap. 6 Discusión y Conclusiones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Respuestas a 4 cuestionamientos anticipados + limitaciones + trabajo futuro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Apéndice 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Documentación del pipeline, tests, extractores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Ponencia ES 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para envío a congreso con resultados definitivos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Corpus A + B procesados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873 secciones, 6 indicadores, ConfliBERT-Spanish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Corpus C — transcripciones Whisper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audiencias, 45.9h, 1.17M chars, y₈ y y₉ calculados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CFH-BERT 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 macro=0.58, IO tagging + weighted loss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anotaciones IAA — autora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 Label Studio, exportadas al repo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Segundo anotador IAA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⏳ Pendiente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Necesario para calcular Cohen κ &gt; 0.80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Diarización Corpus 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🔄 En curso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pyannote-audio cargado, procesando audios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completo con variable latente eta1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⏳ Pendiente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Requiere y₇ surprisal — pendiente CFH-BERT v2 fine-tuned completo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1"/>
        <w:spacing w:after="200" w:before="400"/>
        <w:outlineLvl w:val="0"/>
      </w:pPr>
      <w:r>
        <w:rPr>
          <w:rFonts w:ascii="Times New Roman" w:cs="Times New Roman" w:eastAsia="Times New Roman" w:hAnsi="Times New Roman"/>
          <w:b/>
          <w:bCs/>
          <w:color w:val="0D2137"/>
          <w:sz w:val="28"/>
          <w:szCs w:val="28"/>
        </w:rPr>
        <w:t xml:space="preserve">6. Conexiones académicas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color w:val="0D2137"/>
          <w:sz w:val="22"/>
          <w:szCs w:val="22"/>
        </w:rPr>
        <w:t xml:space="preserve">Wooseong Yang (UIC):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Autor de ConfliBERT-Spanish. Publicó el modelo en HuggingFace tras el contacto de la investigación. Modelo disponible públicamente: eventdata-utd/ConfliBERT-Spanish-Beto-Cased-v1.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color w:val="0D2137"/>
          <w:sz w:val="22"/>
          <w:szCs w:val="22"/>
        </w:rPr>
        <w:t xml:space="preserve">Javier Osorio (U. Arizona):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PI del programa ConfliBERT para América Latina, University of Arizona. Contactado para colaboración. Posible co-citación en ponencia.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1"/>
        <w:spacing w:after="200" w:before="400"/>
        <w:outlineLvl w:val="0"/>
      </w:pPr>
      <w:r>
        <w:rPr>
          <w:rFonts w:ascii="Times New Roman" w:cs="Times New Roman" w:eastAsia="Times New Roman" w:hAnsi="Times New Roman"/>
          <w:b/>
          <w:bCs/>
          <w:color w:val="0D2137"/>
          <w:sz w:val="28"/>
          <w:szCs w:val="28"/>
        </w:rPr>
        <w:t xml:space="preserve">7. Cronograma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7026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Esta semana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Diarización Corpus C + análisis por hablante + actualización final capítulos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Mayo 2026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Segundo anotador IAA (κ&gt;0.80) + SEM completo con y₇ + revisión director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Junio 2026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Validación participativa con MAFAPO + features acústicas Corpus C + ponencia 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Julio 2026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Ajustes finales + revisión integral + preparación sustentación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Agosto 2026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SUSTENTACIÓN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0" w:before="4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Repositorio: github.com/MireyaCamacho/cfh-hermeneutica-forense-computacional</w:t>
      </w:r>
    </w:p>
    <w:sectPr>
      <w:pgSz w:w="11906" w:h="16838" w:orient="portrait"/>
      <w:pgMar w:top="1800" w:right="1701" w:bottom="1800" w:left="22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D213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Times New Roman" w:cs="Times New Roman" w:eastAsia="Times New Roman" w:hAnsi="Times New Roman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2026-04-10T03:30:53.940Z</dcterms:created>
  <dcterms:modified xsi:type="dcterms:W3CDTF">2026-04-10T03:30:53.940Z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