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5E20"/>
          <w:sz w:val="40"/>
          <w:szCs w:val="40"/>
        </w:rPr>
        <w:t xml:space="preserve">HERMENÉUTICA FORENSE COMPUTACIONAL</w:t>
      </w:r>
    </w:p>
    <w:p>
      <w:pPr>
        <w:spacing w:after="240" w:before="0"/>
        <w:jc w:val="center"/>
      </w:pPr>
      <w:r>
        <w:rPr>
          <w:rFonts w:ascii="Arial" w:cs="Arial" w:eastAsia="Arial" w:hAnsi="Arial"/>
          <w:i/>
          <w:iCs/>
          <w:color w:val="2E7D32"/>
          <w:sz w:val="28"/>
          <w:szCs w:val="28"/>
        </w:rPr>
        <w:t xml:space="preserve">Propuesta de Incorporación en la Política Criminal del Sistema Penal Acusatorio</w:t>
      </w:r>
    </w:p>
    <w:p>
      <w:pPr>
        <w:spacing w:after="120" w:before="0"/>
        <w:jc w:val="center"/>
      </w:pPr>
      <w:r>
        <w:rPr>
          <w:rFonts w:ascii="Arial" w:cs="Arial" w:eastAsia="Arial" w:hAnsi="Arial"/>
          <w:b/>
          <w:bCs/>
          <w:sz w:val="24"/>
          <w:szCs w:val="24"/>
        </w:rPr>
        <w:t xml:space="preserve">World Café — Diagnóstico SPA</w:t>
      </w:r>
    </w:p>
    <w:p>
      <w:pPr>
        <w:spacing w:after="120" w:before="0"/>
        <w:jc w:val="center"/>
      </w:pPr>
      <w:r>
        <w:rPr>
          <w:rFonts w:ascii="Arial" w:cs="Arial" w:eastAsia="Arial" w:hAnsi="Arial"/>
          <w:sz w:val="22"/>
          <w:szCs w:val="22"/>
        </w:rPr>
        <w:t xml:space="preserve">Consejo Superior de la Judicatura</w:t>
      </w:r>
    </w:p>
    <w:p>
      <w:pPr>
        <w:spacing w:after="1440" w:before="0"/>
        <w:jc w:val="center"/>
      </w:pPr>
      <w:r>
        <w:rPr>
          <w:rFonts w:ascii="Arial" w:cs="Arial" w:eastAsia="Arial" w:hAnsi="Arial"/>
          <w:sz w:val="22"/>
          <w:szCs w:val="22"/>
        </w:rPr>
        <w:t xml:space="preserve">Mayo 2026</w:t>
      </w:r>
    </w:p>
    <w:p>
      <w:pPr>
        <w:pBdr>
          <w:bottom w:val="single" w:color="2E7D32" w:sz="6"/>
        </w:pBdr>
        <w:spacing w:after="480" w:before="0"/>
      </w:pPr>
      <w:r>
        <w:t xml:space="preserve"/>
      </w:r>
    </w:p>
    <w:p>
      <w:pPr>
        <w:pStyle w:val="Heading1"/>
        <w:spacing w:after="180" w:before="360"/>
      </w:pPr>
      <w:r>
        <w:rPr>
          <w:rFonts w:ascii="Arial" w:cs="Arial" w:eastAsia="Arial" w:hAnsi="Arial"/>
          <w:b/>
          <w:bCs/>
          <w:color w:val="1B5E20"/>
          <w:sz w:val="32"/>
          <w:szCs w:val="32"/>
        </w:rPr>
        <w:t xml:space="preserve">1. Contexto y Fundamento</w:t>
      </w:r>
    </w:p>
    <w:p>
      <w:pPr>
        <w:spacing w:after="80" w:before="80" w:line="280"/>
        <w:jc w:val="both"/>
      </w:pPr>
      <w:r>
        <w:rPr>
          <w:rFonts w:ascii="Arial" w:cs="Arial" w:eastAsia="Arial" w:hAnsi="Arial"/>
          <w:sz w:val="22"/>
          <w:szCs w:val="22"/>
        </w:rPr>
        <w:t xml:space="preserve">El diagnóstico colectivo producido por los cinco grupos de jueces y magistrados en el World Café del Consejo Superior de la Judicatura revela un sistema penal acusatorio con fallas estructurales profundas y persistentes. Estas fallas no son percepción — son hallazgos documentados con convergencias de hasta el 100% entre los grupos participantes.</w:t>
      </w:r>
    </w:p>
    <w:p>
      <w:pPr>
        <w:spacing w:after="60" w:before="60"/>
      </w:pPr>
      <w:r>
        <w:t xml:space="preserve"/>
      </w:r>
    </w:p>
    <w:p>
      <w:pPr>
        <w:spacing w:after="80" w:before="80" w:line="280"/>
        <w:jc w:val="both"/>
      </w:pPr>
      <w:r>
        <w:rPr>
          <w:rFonts w:ascii="Arial" w:cs="Arial" w:eastAsia="Arial" w:hAnsi="Arial"/>
          <w:sz w:val="22"/>
          <w:szCs w:val="22"/>
        </w:rPr>
        <w:t xml:space="preserve">La Hermenéutica Forense Computacional (CFH) es un framework de investigación desarrollado en la Universidad Externado de Colombia que aplica procesamiento de lenguaje natural (NLP) e inteligencia artificial a corpus de audiencias y documentos judiciales colombianos. Propone una respuesta empírica, sistémica y escalable a los problemas que el diagnóstico identificó.</w:t>
      </w:r>
    </w:p>
    <w:p>
      <w:pPr>
        <w:spacing w:after="60" w:before="60"/>
      </w:pPr>
      <w:r>
        <w:t xml:space="preserve"/>
      </w:r>
    </w:p>
    <w:p>
      <w:pPr>
        <w:spacing w:after="80" w:before="80" w:line="280"/>
        <w:jc w:val="both"/>
      </w:pPr>
      <w:r>
        <w:rPr>
          <w:rFonts w:ascii="Arial" w:cs="Arial" w:eastAsia="Arial" w:hAnsi="Arial"/>
          <w:sz w:val="22"/>
          <w:szCs w:val="22"/>
        </w:rPr>
        <w:t xml:space="preserve">La presente propuesta articula el CFH con cada una de las cinco mesas del World Café, identificando acciones concretas de política pública y ancla estas propuestas en los mandatos constitucionales vigentes, en particular las Sentencias T-153/1998, T-388/2013 y T-762/2015 de la Corte Constitucional.</w:t>
      </w:r>
    </w:p>
    <w:p>
      <w:pPr>
        <w:spacing w:after="60" w:before="60"/>
      </w:pPr>
      <w:r>
        <w:t xml:space="preserve"/>
      </w:r>
    </w:p>
    <w:p>
      <w:pPr>
        <w:pStyle w:val="Heading1"/>
        <w:spacing w:after="180" w:before="360"/>
      </w:pPr>
      <w:r>
        <w:rPr>
          <w:rFonts w:ascii="Arial" w:cs="Arial" w:eastAsia="Arial" w:hAnsi="Arial"/>
          <w:b/>
          <w:bCs/>
          <w:color w:val="1B5E20"/>
          <w:sz w:val="32"/>
          <w:szCs w:val="32"/>
        </w:rPr>
        <w:t xml:space="preserve">2. Diagnóstico Transversal: Los Consensos Más Fuertes</w:t>
      </w:r>
    </w:p>
    <w:p>
      <w:pPr>
        <w:spacing w:after="80" w:before="80" w:line="280"/>
        <w:jc w:val="both"/>
      </w:pPr>
      <w:r>
        <w:rPr>
          <w:rFonts w:ascii="Arial" w:cs="Arial" w:eastAsia="Arial" w:hAnsi="Arial"/>
          <w:sz w:val="22"/>
          <w:szCs w:val="22"/>
        </w:rPr>
        <w:t xml:space="preserve">El siguiente cuadro sintetiza los ejes de convergencia más alta identificados en las cinco mesas, que constituyen la base empírica de las propuestas CFH: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Eje Transversal</w:t>
            </w:r>
          </w:p>
        </w:tc>
        <w:tc>
          <w:tcPr>
            <w:tcW w:type="dxa" w:w="32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Diagnóstico Sintético</w:t>
            </w:r>
          </w:p>
        </w:tc>
        <w:tc>
          <w:tcPr>
            <w:tcW w:type="dxa" w:w="16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Convergencia</w:t>
            </w:r>
          </w:p>
        </w:tc>
        <w:tc>
          <w:tcPr>
            <w:tcW w:type="dxa" w:w="168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sz w:val="20"/>
                <w:szCs w:val="20"/>
              </w:rPr>
              <w:t xml:space="preserve">Articulación interinstitucional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Desarticulación estructural Rama/FGN/INPEC/Policía. Ausencia de lenguaje común y datos interoperables.</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80% — Fuerte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1, 2, 3, 4, 5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bCs/>
                <w:sz w:val="20"/>
                <w:szCs w:val="20"/>
              </w:rPr>
              <w:t xml:space="preserve">Fines de la pena / punitivismo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Predominio retributivo que desplaza resocialización y prevención especial. Normas que bloquean salidas restaurativas.</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80% — Fuerte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1, 4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sz w:val="20"/>
                <w:szCs w:val="20"/>
              </w:rPr>
              <w:t xml:space="preserve">Víctima sin voz en el proceso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Víctima carece de voz efectiva y acompañamiento. Riesgo de revictimización en fases de negociación.</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80% — Fuerte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2, 4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bCs/>
                <w:sz w:val="20"/>
                <w:szCs w:val="20"/>
              </w:rPr>
              <w:t xml:space="preserve">Gestión de procesos y audiencias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Audiencias frustradas, congestión, duplicidad de expedientes, ausencia de control de términos y prescripción invisible.</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80% — Fuerte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2, 5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bCs/>
                <w:sz w:val="20"/>
                <w:szCs w:val="20"/>
              </w:rPr>
              <w:t xml:space="preserve">Resocialización inefectiva / ECI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Nula efectividad de programas de resocialización. ECI carcelario persistente desde 1998. Enfoque punitivo incrementa población penitenciaria.</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60% — Media-alta</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bCs/>
                <w:sz w:val="20"/>
                <w:szCs w:val="20"/>
              </w:rPr>
              <w:t xml:space="preserve">Gestión de información y evidencia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Déficit de datos e indicadores para sustentar política criminal. Ausencia de expediente unificado y sistemas analíticos.</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40–60%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1, 5</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5E20"/>
          <w:sz w:val="32"/>
          <w:szCs w:val="32"/>
        </w:rPr>
        <w:t xml:space="preserve">3. ¿Qué es el CFH y Qué Puede Hacer?</w:t>
      </w:r>
    </w:p>
    <w:p>
      <w:pPr>
        <w:spacing w:after="80" w:before="80" w:line="280"/>
        <w:jc w:val="both"/>
      </w:pPr>
      <w:r>
        <w:rPr>
          <w:rFonts w:ascii="Arial" w:cs="Arial" w:eastAsia="Arial" w:hAnsi="Arial"/>
          <w:sz w:val="22"/>
          <w:szCs w:val="22"/>
        </w:rPr>
        <w:t xml:space="preserve">El CFH no es una promesa tecnológica futura — es un prototipo funcional desarrollado y validado sobre corpus judiciales colombianos reales. Sus componentes operativos son:</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Corpus judicial: </w:t>
      </w:r>
      <w:r>
        <w:rPr>
          <w:rFonts w:ascii="Arial" w:cs="Arial" w:eastAsia="Arial" w:hAnsi="Arial"/>
          <w:sz w:val="22"/>
          <w:szCs w:val="22"/>
        </w:rPr>
        <w:t xml:space="preserve">Transcripción automática de audiencias mediante Whisper, con corrección de alucinaciones y validación manual.</w:t>
      </w:r>
    </w:p>
    <w:p>
      <w:pPr>
        <w:pStyle w:val="ListParagraph"/>
        <w:numPr>
          <w:ilvl w:val="0"/>
          <w:numId w:val="2"/>
        </w:numPr>
        <w:spacing w:after="60" w:before="60"/>
      </w:pPr>
      <w:r>
        <w:rPr>
          <w:rFonts w:ascii="Arial" w:cs="Arial" w:eastAsia="Arial" w:hAnsi="Arial"/>
          <w:b/>
          <w:bCs/>
          <w:sz w:val="22"/>
          <w:szCs w:val="22"/>
        </w:rPr>
        <w:t xml:space="preserve">Modelo NLP: </w:t>
      </w:r>
      <w:r>
        <w:rPr>
          <w:rFonts w:ascii="Arial" w:cs="Arial" w:eastAsia="Arial" w:hAnsi="Arial"/>
          <w:sz w:val="22"/>
          <w:szCs w:val="22"/>
        </w:rPr>
        <w:t xml:space="preserve">Clasificación automática mediante CFH-BERT, modelo entrenado sobre archivos de la JEP con precisión del 68% y F1=0.71 para repertorios de impunidad.</w:t>
      </w:r>
    </w:p>
    <w:p>
      <w:pPr>
        <w:pStyle w:val="ListParagraph"/>
        <w:numPr>
          <w:ilvl w:val="0"/>
          <w:numId w:val="2"/>
        </w:numPr>
        <w:spacing w:after="60" w:before="60"/>
      </w:pPr>
      <w:r>
        <w:rPr>
          <w:rFonts w:ascii="Arial" w:cs="Arial" w:eastAsia="Arial" w:hAnsi="Arial"/>
          <w:b/>
          <w:bCs/>
          <w:sz w:val="22"/>
          <w:szCs w:val="22"/>
        </w:rPr>
        <w:t xml:space="preserve">Taxonomía CFH: </w:t>
      </w:r>
      <w:r>
        <w:rPr>
          <w:rFonts w:ascii="Arial" w:cs="Arial" w:eastAsia="Arial" w:hAnsi="Arial"/>
          <w:sz w:val="22"/>
          <w:szCs w:val="22"/>
        </w:rPr>
        <w:t xml:space="preserve">Taxonomía de cuatro categorías: Eventos de Base Identificados (EBI), Sujetos Activos (SA), Narrativas de Victimización (NV) y Repertorios (REP).</w:t>
      </w:r>
    </w:p>
    <w:p>
      <w:pPr>
        <w:pStyle w:val="ListParagraph"/>
        <w:numPr>
          <w:ilvl w:val="0"/>
          <w:numId w:val="2"/>
        </w:numPr>
        <w:spacing w:after="60" w:before="60"/>
      </w:pPr>
      <w:r>
        <w:rPr>
          <w:rFonts w:ascii="Arial" w:cs="Arial" w:eastAsia="Arial" w:hAnsi="Arial"/>
          <w:b/>
          <w:bCs/>
          <w:sz w:val="22"/>
          <w:szCs w:val="22"/>
        </w:rPr>
        <w:t xml:space="preserve">Resultados validados: </w:t>
      </w:r>
      <w:r>
        <w:rPr>
          <w:rFonts w:ascii="Arial" w:cs="Arial" w:eastAsia="Arial" w:hAnsi="Arial"/>
          <w:sz w:val="22"/>
          <w:szCs w:val="22"/>
        </w:rPr>
        <w:t xml:space="preserve">Estadísticos significativos (Mann-Whitney U, p&lt;0.001) sobre cinco de seis indicadores del sistema judicial colombiano.</w:t>
      </w:r>
    </w:p>
    <w:p>
      <w:pPr>
        <w:spacing w:after="60" w:before="60"/>
      </w:pPr>
      <w:r>
        <w:t xml:space="preserve"/>
      </w:r>
    </w:p>
    <w:p>
      <w:pPr>
        <w:pBdr>
          <w:left w:val="single" w:color="2E7D32" w:sz="6" w:space="6"/>
        </w:pBdr>
        <w:spacing w:after="160" w:before="160" w:line="280"/>
        <w:ind w:left="720" w:right="720"/>
        <w:jc w:val="both"/>
      </w:pPr>
      <w:r>
        <w:rPr>
          <w:rFonts w:ascii="Arial" w:cs="Arial" w:eastAsia="Arial" w:hAnsi="Arial"/>
          <w:i/>
          <w:iCs/>
          <w:color w:val="333333"/>
          <w:sz w:val="22"/>
          <w:szCs w:val="22"/>
        </w:rPr>
        <w:t xml:space="preserve">El CFH no propone reemplazar al juez con inteligencia artificial. Propone darle al sistema la capacidad de verse a sí mismo — de auditar si sus decisiones colectivas son coherentes con sus propios fines constitucionales.</w:t>
      </w:r>
    </w:p>
    <w:p>
      <w:pPr>
        <w:spacing w:after="60" w:before="60"/>
      </w:pPr>
      <w:r>
        <w:t xml:space="preserve"/>
      </w:r>
    </w:p>
    <w:p>
      <w:pPr>
        <w:pStyle w:val="Heading1"/>
        <w:spacing w:after="180" w:before="360"/>
      </w:pPr>
      <w:r>
        <w:rPr>
          <w:rFonts w:ascii="Arial" w:cs="Arial" w:eastAsia="Arial" w:hAnsi="Arial"/>
          <w:b/>
          <w:bCs/>
          <w:color w:val="1B5E20"/>
          <w:sz w:val="32"/>
          <w:szCs w:val="32"/>
        </w:rPr>
        <w:t xml:space="preserve">4. Propuestas CFH por Mesa Temática</w:t>
      </w:r>
    </w:p>
    <w:p>
      <w:pPr>
        <w:pStyle w:val="Heading2"/>
        <w:spacing w:after="120" w:before="240"/>
      </w:pPr>
      <w:r>
        <w:rPr>
          <w:rFonts w:ascii="Arial" w:cs="Arial" w:eastAsia="Arial" w:hAnsi="Arial"/>
          <w:b/>
          <w:bCs/>
          <w:color w:val="2E7D32"/>
          <w:sz w:val="26"/>
          <w:szCs w:val="26"/>
        </w:rPr>
        <w:t xml:space="preserve">Mesa 1 — Marco Constitucional, Normativo y Dogmático</w:t>
      </w:r>
    </w:p>
    <w:p>
      <w:pPr>
        <w:spacing w:after="100" w:before="200"/>
      </w:pPr>
      <w:r>
        <w:rPr>
          <w:rFonts w:ascii="Arial" w:cs="Arial" w:eastAsia="Arial" w:hAnsi="Arial"/>
          <w:b/>
          <w:bCs/>
          <w:color w:val="000000"/>
          <w:sz w:val="24"/>
          <w:szCs w:val="24"/>
        </w:rPr>
        <w:t xml:space="preserve">Problema central identificado</w:t>
      </w:r>
    </w:p>
    <w:p>
      <w:pPr>
        <w:pStyle w:val="ListParagraph"/>
        <w:numPr>
          <w:ilvl w:val="0"/>
          <w:numId w:val="2"/>
        </w:numPr>
        <w:spacing w:after="60" w:before="60"/>
      </w:pPr>
      <w:r>
        <w:rPr>
          <w:rFonts w:ascii="Arial" w:cs="Arial" w:eastAsia="Arial" w:hAnsi="Arial"/>
          <w:sz w:val="22"/>
          <w:szCs w:val="22"/>
        </w:rPr>
        <w:t xml:space="preserve">Incoherencias internas y desproporcionalidades que afectan la racionalidad del ius puniendi (5/5 grupos, 100%)</w:t>
      </w:r>
    </w:p>
    <w:p>
      <w:pPr>
        <w:pStyle w:val="ListParagraph"/>
        <w:numPr>
          <w:ilvl w:val="0"/>
          <w:numId w:val="2"/>
        </w:numPr>
        <w:spacing w:after="60" w:before="60"/>
      </w:pPr>
      <w:r>
        <w:rPr>
          <w:rFonts w:ascii="Arial" w:cs="Arial" w:eastAsia="Arial" w:hAnsi="Arial"/>
          <w:sz w:val="22"/>
          <w:szCs w:val="22"/>
        </w:rPr>
        <w:t xml:space="preserve">Predominio retributivo que desplaza resocialización y prevención especial (4/5 grupos, 80%)</w:t>
      </w:r>
    </w:p>
    <w:p>
      <w:pPr>
        <w:spacing w:after="60" w:before="60"/>
      </w:pPr>
      <w:r>
        <w:t xml:space="preserve"/>
      </w:r>
    </w:p>
    <w:p>
      <w:pPr>
        <w:spacing w:after="100" w:before="200"/>
      </w:pPr>
      <w:r>
        <w:rPr>
          <w:rFonts w:ascii="Arial" w:cs="Arial" w:eastAsia="Arial" w:hAnsi="Arial"/>
          <w:b/>
          <w:bCs/>
          <w:color w:val="000000"/>
          <w:sz w:val="24"/>
          <w:szCs w:val="24"/>
        </w:rPr>
        <w:t xml:space="preserve">Pregunta CFH</w:t>
      </w:r>
    </w:p>
    <w:p>
      <w:pPr>
        <w:spacing w:after="80" w:before="80" w:line="280"/>
        <w:jc w:val="both"/>
      </w:pPr>
      <w:r>
        <w:rPr>
          <w:rFonts w:ascii="Arial" w:cs="Arial" w:eastAsia="Arial" w:hAnsi="Arial"/>
          <w:sz w:val="22"/>
          <w:szCs w:val="22"/>
        </w:rPr>
        <w:t xml:space="preserve">¿Cuáles son los fines de la pena que realmente operan en el discurso judicial colombiano, independientemente de lo que prescribe el Código Penal?</w:t>
      </w:r>
    </w:p>
    <w:p>
      <w:pPr>
        <w:spacing w:after="60" w:before="60"/>
      </w:pPr>
      <w:r>
        <w:t xml:space="preserve"/>
      </w:r>
    </w:p>
    <w:p>
      <w:pPr>
        <w:spacing w:after="100" w:before="200"/>
      </w:pPr>
      <w:r>
        <w:rPr>
          <w:rFonts w:ascii="Arial" w:cs="Arial" w:eastAsia="Arial" w:hAnsi="Arial"/>
          <w:b/>
          <w:bCs/>
          <w:color w:val="000000"/>
          <w:sz w:val="24"/>
          <w:szCs w:val="24"/>
        </w:rPr>
        <w:t xml:space="preserve">Propuesta</w:t>
      </w:r>
    </w:p>
    <w:p>
      <w:pPr>
        <w:spacing w:after="80" w:before="80" w:line="280"/>
        <w:jc w:val="both"/>
      </w:pPr>
      <w:r>
        <w:rPr>
          <w:rFonts w:ascii="Arial" w:cs="Arial" w:eastAsia="Arial" w:hAnsi="Arial"/>
          <w:sz w:val="22"/>
          <w:szCs w:val="22"/>
        </w:rPr>
        <w:t xml:space="preserve">La taxonomía CFH permite responder esta pregunta empíricamente. Cada categoría mapea una dimensión del ius puniendi real:</w:t>
      </w:r>
    </w:p>
    <w:p>
      <w:pPr>
        <w:pStyle w:val="ListParagraph"/>
        <w:numPr>
          <w:ilvl w:val="0"/>
          <w:numId w:val="2"/>
        </w:numPr>
        <w:spacing w:after="60" w:before="60"/>
      </w:pPr>
      <w:r>
        <w:rPr>
          <w:rFonts w:ascii="Arial" w:cs="Arial" w:eastAsia="Arial" w:hAnsi="Arial"/>
          <w:sz w:val="22"/>
          <w:szCs w:val="22"/>
        </w:rPr>
        <w:t xml:space="preserve">EBI identifica qué eventos construye el sistema como punibles — define el objeto de la pena</w:t>
      </w:r>
    </w:p>
    <w:p>
      <w:pPr>
        <w:pStyle w:val="ListParagraph"/>
        <w:numPr>
          <w:ilvl w:val="0"/>
          <w:numId w:val="2"/>
        </w:numPr>
        <w:spacing w:after="60" w:before="60"/>
      </w:pPr>
      <w:r>
        <w:rPr>
          <w:rFonts w:ascii="Arial" w:cs="Arial" w:eastAsia="Arial" w:hAnsi="Arial"/>
          <w:sz w:val="22"/>
          <w:szCs w:val="22"/>
        </w:rPr>
        <w:t xml:space="preserve">SA determina a quién se atribuye responsabilidad — define el sujeto de la pena</w:t>
      </w:r>
    </w:p>
    <w:p>
      <w:pPr>
        <w:pStyle w:val="ListParagraph"/>
        <w:numPr>
          <w:ilvl w:val="0"/>
          <w:numId w:val="2"/>
        </w:numPr>
        <w:spacing w:after="60" w:before="60"/>
      </w:pPr>
      <w:r>
        <w:rPr>
          <w:rFonts w:ascii="Arial" w:cs="Arial" w:eastAsia="Arial" w:hAnsi="Arial"/>
          <w:sz w:val="22"/>
          <w:szCs w:val="22"/>
        </w:rPr>
        <w:t xml:space="preserve">NV revela cómo se narra el daño — orienta hacia retribución o reparación</w:t>
      </w:r>
    </w:p>
    <w:p>
      <w:pPr>
        <w:pStyle w:val="ListParagraph"/>
        <w:numPr>
          <w:ilvl w:val="0"/>
          <w:numId w:val="2"/>
        </w:numPr>
        <w:spacing w:after="60" w:before="60"/>
      </w:pPr>
      <w:r>
        <w:rPr>
          <w:rFonts w:ascii="Arial" w:cs="Arial" w:eastAsia="Arial" w:hAnsi="Arial"/>
          <w:sz w:val="22"/>
          <w:szCs w:val="22"/>
        </w:rPr>
        <w:t xml:space="preserve">REP detecta si hay patrón sistemático o caso aislado — define el alcance de la respuesta</w:t>
      </w:r>
    </w:p>
    <w:p>
      <w:pPr>
        <w:spacing w:after="60" w:before="60"/>
      </w:pPr>
      <w:r>
        <w:t xml:space="preserve"/>
      </w:r>
    </w:p>
    <w:p>
      <w:pPr>
        <w:spacing w:after="80" w:before="80" w:line="280"/>
        <w:jc w:val="both"/>
      </w:pPr>
      <w:r>
        <w:rPr>
          <w:rFonts w:ascii="Arial" w:cs="Arial" w:eastAsia="Arial" w:hAnsi="Arial"/>
          <w:sz w:val="22"/>
          <w:szCs w:val="22"/>
        </w:rPr>
        <w:t xml:space="preserve">La combinación de estas cuatro dimensiones en el corpus revela qué teoría de la pena está operando de facto, con evidencia textual cuantificable. El CFH puede producir un Índice de Coherencia Punitiva por distrito judicial, tipo de delito y período — insumo directo para la reforma normativa.</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Mesa 2 — Diseño Procesal y Garantías</w:t>
      </w:r>
    </w:p>
    <w:p>
      <w:pPr>
        <w:spacing w:after="100" w:before="200"/>
      </w:pPr>
      <w:r>
        <w:rPr>
          <w:rFonts w:ascii="Arial" w:cs="Arial" w:eastAsia="Arial" w:hAnsi="Arial"/>
          <w:b/>
          <w:bCs/>
          <w:color w:val="000000"/>
          <w:sz w:val="24"/>
          <w:szCs w:val="24"/>
        </w:rPr>
        <w:t xml:space="preserve">Problemas centrales identificados</w:t>
      </w:r>
    </w:p>
    <w:p>
      <w:pPr>
        <w:pStyle w:val="ListParagraph"/>
        <w:numPr>
          <w:ilvl w:val="0"/>
          <w:numId w:val="2"/>
        </w:numPr>
        <w:spacing w:after="60" w:before="60"/>
      </w:pPr>
      <w:r>
        <w:rPr>
          <w:rFonts w:ascii="Arial" w:cs="Arial" w:eastAsia="Arial" w:hAnsi="Arial"/>
          <w:sz w:val="22"/>
          <w:szCs w:val="22"/>
        </w:rPr>
        <w:t xml:space="preserve">Narrativa inaugural limita el acceso de información al proceso — efecto de anclaje</w:t>
      </w:r>
    </w:p>
    <w:p>
      <w:pPr>
        <w:pStyle w:val="ListParagraph"/>
        <w:numPr>
          <w:ilvl w:val="0"/>
          <w:numId w:val="2"/>
        </w:numPr>
        <w:spacing w:after="60" w:before="60"/>
      </w:pPr>
      <w:r>
        <w:rPr>
          <w:rFonts w:ascii="Arial" w:cs="Arial" w:eastAsia="Arial" w:hAnsi="Arial"/>
          <w:sz w:val="22"/>
          <w:szCs w:val="22"/>
        </w:rPr>
        <w:t xml:space="preserve">Dificultades en prueba testimonial y técnica de objeción</w:t>
      </w:r>
    </w:p>
    <w:p>
      <w:pPr>
        <w:pStyle w:val="ListParagraph"/>
        <w:numPr>
          <w:ilvl w:val="0"/>
          <w:numId w:val="2"/>
        </w:numPr>
        <w:spacing w:after="60" w:before="60"/>
      </w:pPr>
      <w:r>
        <w:rPr>
          <w:rFonts w:ascii="Arial" w:cs="Arial" w:eastAsia="Arial" w:hAnsi="Arial"/>
          <w:sz w:val="22"/>
          <w:szCs w:val="22"/>
        </w:rPr>
        <w:t xml:space="preserve">Falta de verificación de antecedentes por la FGN afecta decisiones judiciales</w:t>
      </w:r>
    </w:p>
    <w:p>
      <w:pPr>
        <w:pStyle w:val="ListParagraph"/>
        <w:numPr>
          <w:ilvl w:val="0"/>
          <w:numId w:val="2"/>
        </w:numPr>
        <w:spacing w:after="60" w:before="60"/>
      </w:pPr>
      <w:r>
        <w:rPr>
          <w:rFonts w:ascii="Arial" w:cs="Arial" w:eastAsia="Arial" w:hAnsi="Arial"/>
          <w:sz w:val="22"/>
          <w:szCs w:val="22"/>
        </w:rPr>
        <w:t xml:space="preserve">Víctima sin acompañamiento suficiente — revictimización en negociación (4/5, 80%)</w:t>
      </w:r>
    </w:p>
    <w:p>
      <w:pPr>
        <w:spacing w:after="60" w:before="60"/>
      </w:pPr>
      <w:r>
        <w:t xml:space="preserve"/>
      </w:r>
    </w:p>
    <w:p>
      <w:pPr>
        <w:spacing w:after="100" w:before="200"/>
      </w:pPr>
      <w:r>
        <w:rPr>
          <w:rFonts w:ascii="Arial" w:cs="Arial" w:eastAsia="Arial" w:hAnsi="Arial"/>
          <w:b/>
          <w:bCs/>
          <w:color w:val="000000"/>
          <w:sz w:val="24"/>
          <w:szCs w:val="24"/>
        </w:rPr>
        <w:t xml:space="preserve">Propuestas CFH</w:t>
      </w:r>
    </w:p>
    <w:p>
      <w:pPr>
        <w:pStyle w:val="ListParagraph"/>
        <w:numPr>
          <w:ilvl w:val="0"/>
          <w:numId w:val="2"/>
        </w:numPr>
        <w:spacing w:after="60" w:before="60"/>
      </w:pPr>
      <w:r>
        <w:rPr>
          <w:rFonts w:ascii="Arial" w:cs="Arial" w:eastAsia="Arial" w:hAnsi="Arial"/>
          <w:b/>
          <w:bCs/>
          <w:sz w:val="22"/>
          <w:szCs w:val="22"/>
        </w:rPr>
        <w:t xml:space="preserve">Anclaje narrativo: </w:t>
      </w:r>
      <w:r>
        <w:rPr>
          <w:rFonts w:ascii="Arial" w:cs="Arial" w:eastAsia="Arial" w:hAnsi="Arial"/>
          <w:sz w:val="22"/>
          <w:szCs w:val="22"/>
        </w:rPr>
        <w:t xml:space="preserve">Análisis de persistencia narrativa inaugural: medir computacionalmente cuánto de la primera narrativa sobrevive intacta a la sentencia — evidencia del efecto de anclaje. La categoría EBI es el instrumento específico.</w:t>
      </w:r>
    </w:p>
    <w:p>
      <w:pPr>
        <w:pStyle w:val="ListParagraph"/>
        <w:numPr>
          <w:ilvl w:val="0"/>
          <w:numId w:val="2"/>
        </w:numPr>
        <w:spacing w:after="60" w:before="60"/>
      </w:pPr>
      <w:r>
        <w:rPr>
          <w:rFonts w:ascii="Arial" w:cs="Arial" w:eastAsia="Arial" w:hAnsi="Arial"/>
          <w:b/>
          <w:bCs/>
          <w:sz w:val="22"/>
          <w:szCs w:val="22"/>
        </w:rPr>
        <w:t xml:space="preserve">Formación en litigación: </w:t>
      </w:r>
      <w:r>
        <w:rPr>
          <w:rFonts w:ascii="Arial" w:cs="Arial" w:eastAsia="Arial" w:hAnsi="Arial"/>
          <w:sz w:val="22"/>
          <w:szCs w:val="22"/>
        </w:rPr>
        <w:t xml:space="preserve">Simulador de juicio oral con corpus real colombiano anonimizado. Entrena a fiscales y defensores con audiencias reales — no casos hipotéticos importados. Conecta directamente con la Escuela Judicial Rodrigo Lara Bonilla.</w:t>
      </w:r>
    </w:p>
    <w:p>
      <w:pPr>
        <w:pStyle w:val="ListParagraph"/>
        <w:numPr>
          <w:ilvl w:val="0"/>
          <w:numId w:val="2"/>
        </w:numPr>
        <w:spacing w:after="60" w:before="60"/>
      </w:pPr>
      <w:r>
        <w:rPr>
          <w:rFonts w:ascii="Arial" w:cs="Arial" w:eastAsia="Arial" w:hAnsi="Arial"/>
          <w:b/>
          <w:bCs/>
          <w:sz w:val="22"/>
          <w:szCs w:val="22"/>
        </w:rPr>
        <w:t xml:space="preserve">Trazabilidad de antecedentes: </w:t>
      </w:r>
      <w:r>
        <w:rPr>
          <w:rFonts w:ascii="Arial" w:cs="Arial" w:eastAsia="Arial" w:hAnsi="Arial"/>
          <w:sz w:val="22"/>
          <w:szCs w:val="22"/>
        </w:rPr>
        <w:t xml:space="preserve">Procesamiento de narrativas del expediente como señal complementaria de antecedentes cuando la verificación formal falla. No reemplaza el sistema formal — compensa la brecha mientras se corrige.</w:t>
      </w:r>
    </w:p>
    <w:p>
      <w:pPr>
        <w:pStyle w:val="ListParagraph"/>
        <w:numPr>
          <w:ilvl w:val="0"/>
          <w:numId w:val="2"/>
        </w:numPr>
        <w:spacing w:after="60" w:before="60"/>
      </w:pPr>
      <w:r>
        <w:rPr>
          <w:rFonts w:ascii="Arial" w:cs="Arial" w:eastAsia="Arial" w:hAnsi="Arial"/>
          <w:b/>
          <w:bCs/>
          <w:sz w:val="22"/>
          <w:szCs w:val="22"/>
        </w:rPr>
        <w:t xml:space="preserve">Voz de la víctima: </w:t>
      </w:r>
      <w:r>
        <w:rPr>
          <w:rFonts w:ascii="Arial" w:cs="Arial" w:eastAsia="Arial" w:hAnsi="Arial"/>
          <w:sz w:val="22"/>
          <w:szCs w:val="22"/>
        </w:rPr>
        <w:t xml:space="preserve">La taxonomía NV mide la presencia o ausencia discursiva de la víctima en cada etapa procesal, incluyendo fases de negociación y preacuerdos.</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Mesa 3 — Ejecución de la Pena, Sistema Penitenciario y Derechos Humanos</w:t>
      </w:r>
    </w:p>
    <w:p>
      <w:pPr>
        <w:spacing w:after="100" w:before="200"/>
      </w:pPr>
      <w:r>
        <w:rPr>
          <w:rFonts w:ascii="Arial" w:cs="Arial" w:eastAsia="Arial" w:hAnsi="Arial"/>
          <w:b/>
          <w:bCs/>
          <w:color w:val="000000"/>
          <w:sz w:val="24"/>
          <w:szCs w:val="24"/>
        </w:rPr>
        <w:t xml:space="preserve">Problema central: El Estado de Cosas Inconstitucional</w:t>
      </w:r>
    </w:p>
    <w:p>
      <w:pPr>
        <w:spacing w:after="80" w:before="80" w:line="280"/>
        <w:jc w:val="both"/>
      </w:pPr>
      <w:r>
        <w:rPr>
          <w:rFonts w:ascii="Arial" w:cs="Arial" w:eastAsia="Arial" w:hAnsi="Arial"/>
          <w:sz w:val="22"/>
          <w:szCs w:val="22"/>
        </w:rPr>
        <w:t xml:space="preserve">La Corte Constitucional declaró el ECI carcelario en T-153/1998, lo reafirmó en T-388/2013 y en T-762/2015 ordenó explícitamente una política criminal racional, coherente y basada en evidencia. Veinticinco años después, el ECI persiste en parte porque el Estado no tiene instrumentos para medir su evolución de forma continua y objetiva.</w:t>
      </w:r>
    </w:p>
    <w:p>
      <w:pPr>
        <w:spacing w:after="60" w:before="60"/>
      </w:pPr>
      <w:r>
        <w:t xml:space="preserve"/>
      </w:r>
    </w:p>
    <w:p>
      <w:pPr>
        <w:spacing w:after="100" w:before="200"/>
      </w:pPr>
      <w:r>
        <w:rPr>
          <w:rFonts w:ascii="Arial" w:cs="Arial" w:eastAsia="Arial" w:hAnsi="Arial"/>
          <w:b/>
          <w:bCs/>
          <w:color w:val="000000"/>
          <w:sz w:val="24"/>
          <w:szCs w:val="24"/>
        </w:rPr>
        <w:t xml:space="preserve">Propuestas CFH</w:t>
      </w:r>
    </w:p>
    <w:p>
      <w:pPr>
        <w:pStyle w:val="ListParagraph"/>
        <w:numPr>
          <w:ilvl w:val="0"/>
          <w:numId w:val="2"/>
        </w:numPr>
        <w:spacing w:after="60" w:before="60"/>
      </w:pPr>
      <w:r>
        <w:rPr>
          <w:rFonts w:ascii="Arial" w:cs="Arial" w:eastAsia="Arial" w:hAnsi="Arial"/>
          <w:b/>
          <w:bCs/>
          <w:sz w:val="22"/>
          <w:szCs w:val="22"/>
        </w:rPr>
        <w:t xml:space="preserve">Corpus de tutelas carcelarias: </w:t>
      </w:r>
      <w:r>
        <w:rPr>
          <w:rFonts w:ascii="Arial" w:cs="Arial" w:eastAsia="Arial" w:hAnsi="Arial"/>
          <w:sz w:val="22"/>
          <w:szCs w:val="22"/>
        </w:rPr>
        <w:t xml:space="preserve">Análisis de miles de tutelas sobre derechos de PPL — clasificación por derecho invocado, establecimiento, argumento exitoso. Producción de un mapa nacional de violación de derechos por ERON.</w:t>
      </w:r>
    </w:p>
    <w:p>
      <w:pPr>
        <w:pStyle w:val="ListParagraph"/>
        <w:numPr>
          <w:ilvl w:val="0"/>
          <w:numId w:val="2"/>
        </w:numPr>
        <w:spacing w:after="60" w:before="60"/>
      </w:pPr>
      <w:r>
        <w:rPr>
          <w:rFonts w:ascii="Arial" w:cs="Arial" w:eastAsia="Arial" w:hAnsi="Arial"/>
          <w:b/>
          <w:bCs/>
          <w:sz w:val="22"/>
          <w:szCs w:val="22"/>
        </w:rPr>
        <w:t xml:space="preserve">Auditoría de ejecución de pena: </w:t>
      </w:r>
      <w:r>
        <w:rPr>
          <w:rFonts w:ascii="Arial" w:cs="Arial" w:eastAsia="Arial" w:hAnsi="Arial"/>
          <w:sz w:val="22"/>
          <w:szCs w:val="22"/>
        </w:rPr>
        <w:t xml:space="preserve">Análisis de decisiones del juez de ejecución de penas para medir si el lenguaje de dignidad humana de la Corte penetra las decisiones operativas o se queda en el nivel formal.</w:t>
      </w:r>
    </w:p>
    <w:p>
      <w:pPr>
        <w:pStyle w:val="ListParagraph"/>
        <w:numPr>
          <w:ilvl w:val="0"/>
          <w:numId w:val="2"/>
        </w:numPr>
        <w:spacing w:after="60" w:before="60"/>
      </w:pPr>
      <w:r>
        <w:rPr>
          <w:rFonts w:ascii="Arial" w:cs="Arial" w:eastAsia="Arial" w:hAnsi="Arial"/>
          <w:b/>
          <w:bCs/>
          <w:sz w:val="22"/>
          <w:szCs w:val="22"/>
        </w:rPr>
        <w:t xml:space="preserve">Índice de cumplimiento ECI: </w:t>
      </w:r>
      <w:r>
        <w:rPr>
          <w:rFonts w:ascii="Arial" w:cs="Arial" w:eastAsia="Arial" w:hAnsi="Arial"/>
          <w:sz w:val="22"/>
          <w:szCs w:val="22"/>
        </w:rPr>
        <w:t xml:space="preserve">Índice CFH de cumplimiento del ECI: qué tanto el lenguaje de derechos fundamentales ha penetrado las decisiones judiciales sobre PPL. Instrumento de monitoreo continuo que responde al mandato de la T-762.</w:t>
      </w:r>
    </w:p>
    <w:p>
      <w:pPr>
        <w:pStyle w:val="ListParagraph"/>
        <w:numPr>
          <w:ilvl w:val="0"/>
          <w:numId w:val="2"/>
        </w:numPr>
        <w:spacing w:after="60" w:before="60"/>
      </w:pPr>
      <w:r>
        <w:rPr>
          <w:rFonts w:ascii="Arial" w:cs="Arial" w:eastAsia="Arial" w:hAnsi="Arial"/>
          <w:b/>
          <w:bCs/>
          <w:sz w:val="22"/>
          <w:szCs w:val="22"/>
        </w:rPr>
        <w:t xml:space="preserve">Certificaciones de redención: </w:t>
      </w:r>
      <w:r>
        <w:rPr>
          <w:rFonts w:ascii="Arial" w:cs="Arial" w:eastAsia="Arial" w:hAnsi="Arial"/>
          <w:sz w:val="22"/>
          <w:szCs w:val="22"/>
        </w:rPr>
        <w:t xml:space="preserve">Auditoría de certificaciones de redención de pena mediante análisis de consistencia textual — detección de patrones de irregularidad que hoy son invisibles al sistema.</w:t>
      </w:r>
    </w:p>
    <w:p>
      <w:pPr>
        <w:spacing w:after="60" w:before="60"/>
      </w:pPr>
      <w:r>
        <w:t xml:space="preserve"/>
      </w:r>
    </w:p>
    <w:p>
      <w:pPr>
        <w:pBdr>
          <w:left w:val="single" w:color="2E7D32" w:sz="6" w:space="6"/>
        </w:pBdr>
        <w:spacing w:after="160" w:before="160" w:line="280"/>
        <w:ind w:left="720" w:right="720"/>
        <w:jc w:val="both"/>
      </w:pPr>
      <w:r>
        <w:rPr>
          <w:rFonts w:ascii="Arial" w:cs="Arial" w:eastAsia="Arial" w:hAnsi="Arial"/>
          <w:i/>
          <w:iCs/>
          <w:color w:val="333333"/>
          <w:sz w:val="22"/>
          <w:szCs w:val="22"/>
        </w:rPr>
        <w:t xml:space="preserve">La T-762 ordenó una política criminal racional basada en evidencia. El CFH no es una propuesta académica — es la respuesta técnica a un mandato constitucional incumplido.</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Mesa 4 — Impacto Social, Víctimas, Justicia Transformativa y Enfoques Diferenciales</w:t>
      </w:r>
    </w:p>
    <w:p>
      <w:pPr>
        <w:spacing w:after="100" w:before="200"/>
      </w:pPr>
      <w:r>
        <w:rPr>
          <w:rFonts w:ascii="Arial" w:cs="Arial" w:eastAsia="Arial" w:hAnsi="Arial"/>
          <w:b/>
          <w:bCs/>
          <w:color w:val="000000"/>
          <w:sz w:val="24"/>
          <w:szCs w:val="24"/>
        </w:rPr>
        <w:t xml:space="preserve">Problemas centrales identificados</w:t>
      </w:r>
    </w:p>
    <w:p>
      <w:pPr>
        <w:pStyle w:val="ListParagraph"/>
        <w:numPr>
          <w:ilvl w:val="0"/>
          <w:numId w:val="2"/>
        </w:numPr>
        <w:spacing w:after="60" w:before="60"/>
      </w:pPr>
      <w:r>
        <w:rPr>
          <w:rFonts w:ascii="Arial" w:cs="Arial" w:eastAsia="Arial" w:hAnsi="Arial"/>
          <w:sz w:val="22"/>
          <w:szCs w:val="22"/>
        </w:rPr>
        <w:t xml:space="preserve">Predominio retributivo con normas que bloquean soluciones restaurativas (art. 68A CP, art. 199 Código Infancia) — 4/5 grupos, 80%</w:t>
      </w:r>
    </w:p>
    <w:p>
      <w:pPr>
        <w:pStyle w:val="ListParagraph"/>
        <w:numPr>
          <w:ilvl w:val="0"/>
          <w:numId w:val="2"/>
        </w:numPr>
        <w:spacing w:after="60" w:before="60"/>
      </w:pPr>
      <w:r>
        <w:rPr>
          <w:rFonts w:ascii="Arial" w:cs="Arial" w:eastAsia="Arial" w:hAnsi="Arial"/>
          <w:sz w:val="22"/>
          <w:szCs w:val="22"/>
        </w:rPr>
        <w:t xml:space="preserve">Temor a sanción disciplinaria (prevaricato) al aplicar justicia restaurativa o terapéutica — barrera cultural y normativa</w:t>
      </w:r>
    </w:p>
    <w:p>
      <w:pPr>
        <w:pStyle w:val="ListParagraph"/>
        <w:numPr>
          <w:ilvl w:val="0"/>
          <w:numId w:val="2"/>
        </w:numPr>
        <w:spacing w:after="60" w:before="60"/>
      </w:pPr>
      <w:r>
        <w:rPr>
          <w:rFonts w:ascii="Arial" w:cs="Arial" w:eastAsia="Arial" w:hAnsi="Arial"/>
          <w:sz w:val="22"/>
          <w:szCs w:val="22"/>
        </w:rPr>
        <w:t xml:space="preserve">Víctima carece de voz efectiva en el proceso penal — 4/5 grupos, 80%</w:t>
      </w:r>
    </w:p>
    <w:p>
      <w:pPr>
        <w:spacing w:after="60" w:before="60"/>
      </w:pPr>
      <w:r>
        <w:t xml:space="preserve"/>
      </w:r>
    </w:p>
    <w:p>
      <w:pPr>
        <w:spacing w:after="100" w:before="200"/>
      </w:pPr>
      <w:r>
        <w:rPr>
          <w:rFonts w:ascii="Arial" w:cs="Arial" w:eastAsia="Arial" w:hAnsi="Arial"/>
          <w:b/>
          <w:bCs/>
          <w:color w:val="000000"/>
          <w:sz w:val="24"/>
          <w:szCs w:val="24"/>
        </w:rPr>
        <w:t xml:space="preserve">Propuestas CFH</w:t>
      </w:r>
    </w:p>
    <w:p>
      <w:pPr>
        <w:pStyle w:val="ListParagraph"/>
        <w:numPr>
          <w:ilvl w:val="0"/>
          <w:numId w:val="2"/>
        </w:numPr>
        <w:spacing w:after="60" w:before="60"/>
      </w:pPr>
      <w:r>
        <w:rPr>
          <w:rFonts w:ascii="Arial" w:cs="Arial" w:eastAsia="Arial" w:hAnsi="Arial"/>
          <w:b/>
          <w:bCs/>
          <w:sz w:val="22"/>
          <w:szCs w:val="22"/>
        </w:rPr>
        <w:t xml:space="preserve">Autocensura restaurativa: </w:t>
      </w:r>
      <w:r>
        <w:rPr>
          <w:rFonts w:ascii="Arial" w:cs="Arial" w:eastAsia="Arial" w:hAnsi="Arial"/>
          <w:sz w:val="22"/>
          <w:szCs w:val="22"/>
        </w:rPr>
        <w:t xml:space="preserve">Detección computacional de autocensura restaurativa: identificar casos donde el juez razona restaurativamente en audiencia pero codifica retributivamente en la sentencia. La brecha entre razonamiento oral y decisión escrita es medible. Esta evidencia puede sustentar reformas al régimen disciplinario que reduzcan el riesgo percibido de prevaricato.</w:t>
      </w:r>
    </w:p>
    <w:p>
      <w:pPr>
        <w:pStyle w:val="ListParagraph"/>
        <w:numPr>
          <w:ilvl w:val="0"/>
          <w:numId w:val="2"/>
        </w:numPr>
        <w:spacing w:after="60" w:before="60"/>
      </w:pPr>
      <w:r>
        <w:rPr>
          <w:rFonts w:ascii="Arial" w:cs="Arial" w:eastAsia="Arial" w:hAnsi="Arial"/>
          <w:b/>
          <w:bCs/>
          <w:sz w:val="22"/>
          <w:szCs w:val="22"/>
        </w:rPr>
        <w:t xml:space="preserve">Auditoría normativa del art. 68A y 199: </w:t>
      </w:r>
      <w:r>
        <w:rPr>
          <w:rFonts w:ascii="Arial" w:cs="Arial" w:eastAsia="Arial" w:hAnsi="Arial"/>
          <w:sz w:val="22"/>
          <w:szCs w:val="22"/>
        </w:rPr>
        <w:t xml:space="preserve">Medir cuántas veces los operadores invocan el art. 68A y el art. 199 para cerrar salidas restaurativas vs. cuántas veces los evaden creativamente. La dispersión jurisprudencial es evidencia directa para recomendar reforma normativa con datos, no con percepción.</w:t>
      </w:r>
    </w:p>
    <w:p>
      <w:pPr>
        <w:pStyle w:val="ListParagraph"/>
        <w:numPr>
          <w:ilvl w:val="0"/>
          <w:numId w:val="2"/>
        </w:numPr>
        <w:spacing w:after="60" w:before="60"/>
      </w:pPr>
      <w:r>
        <w:rPr>
          <w:rFonts w:ascii="Arial" w:cs="Arial" w:eastAsia="Arial" w:hAnsi="Arial"/>
          <w:b/>
          <w:bCs/>
          <w:sz w:val="22"/>
          <w:szCs w:val="22"/>
        </w:rPr>
        <w:t xml:space="preserve">Presencia discursiva de la víctima: </w:t>
      </w:r>
      <w:r>
        <w:rPr>
          <w:rFonts w:ascii="Arial" w:cs="Arial" w:eastAsia="Arial" w:hAnsi="Arial"/>
          <w:sz w:val="22"/>
          <w:szCs w:val="22"/>
        </w:rPr>
        <w:t xml:space="preserve">La categoría NV del CFH mide la presencia discursiva de la víctima en cada etapa procesal, incluyendo fases de preacuerdo. Si hay revictimización, aparece en el texto como patrón estadísticamente identificable.</w:t>
      </w:r>
    </w:p>
    <w:p>
      <w:pPr>
        <w:pStyle w:val="ListParagraph"/>
        <w:numPr>
          <w:ilvl w:val="0"/>
          <w:numId w:val="2"/>
        </w:numPr>
        <w:spacing w:after="60" w:before="60"/>
      </w:pPr>
      <w:r>
        <w:rPr>
          <w:rFonts w:ascii="Arial" w:cs="Arial" w:eastAsia="Arial" w:hAnsi="Arial"/>
          <w:b/>
          <w:bCs/>
          <w:sz w:val="22"/>
          <w:szCs w:val="22"/>
        </w:rPr>
        <w:t xml:space="preserve">Percepción ciudadana: </w:t>
      </w:r>
      <w:r>
        <w:rPr>
          <w:rFonts w:ascii="Arial" w:cs="Arial" w:eastAsia="Arial" w:hAnsi="Arial"/>
          <w:sz w:val="22"/>
          <w:szCs w:val="22"/>
        </w:rPr>
        <w:t xml:space="preserve">Comparación entre narrativas de audiencia y narrativas mediáticas sobre los mismos casos — mide la brecha entre expectativa ciudadana y respuesta institucional real.</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Mesa 5 — Capacidades Institucionales, Modelos de Gestión e Innovación</w:t>
      </w:r>
    </w:p>
    <w:p>
      <w:pPr>
        <w:spacing w:after="100" w:before="200"/>
      </w:pPr>
      <w:r>
        <w:rPr>
          <w:rFonts w:ascii="Arial" w:cs="Arial" w:eastAsia="Arial" w:hAnsi="Arial"/>
          <w:b/>
          <w:bCs/>
          <w:color w:val="000000"/>
          <w:sz w:val="24"/>
          <w:szCs w:val="24"/>
        </w:rPr>
        <w:t xml:space="preserve">Problemas centrales identificados</w:t>
      </w:r>
    </w:p>
    <w:p>
      <w:pPr>
        <w:pStyle w:val="ListParagraph"/>
        <w:numPr>
          <w:ilvl w:val="0"/>
          <w:numId w:val="2"/>
        </w:numPr>
        <w:spacing w:after="60" w:before="60"/>
      </w:pPr>
      <w:r>
        <w:rPr>
          <w:rFonts w:ascii="Arial" w:cs="Arial" w:eastAsia="Arial" w:hAnsi="Arial"/>
          <w:sz w:val="22"/>
          <w:szCs w:val="22"/>
        </w:rPr>
        <w:t xml:space="preserve">Talento humano insuficiente y brechas de formación especializada — 4/5 grupos, 80%</w:t>
      </w:r>
    </w:p>
    <w:p>
      <w:pPr>
        <w:pStyle w:val="ListParagraph"/>
        <w:numPr>
          <w:ilvl w:val="0"/>
          <w:numId w:val="2"/>
        </w:numPr>
        <w:spacing w:after="60" w:before="60"/>
      </w:pPr>
      <w:r>
        <w:rPr>
          <w:rFonts w:ascii="Arial" w:cs="Arial" w:eastAsia="Arial" w:hAnsi="Arial"/>
          <w:sz w:val="22"/>
          <w:szCs w:val="22"/>
        </w:rPr>
        <w:t xml:space="preserve">Gestión de procesos deficiente: audiencias frustradas, congestión, duplicidad de expedientes — 4/5 grupos, 80%</w:t>
      </w:r>
    </w:p>
    <w:p>
      <w:pPr>
        <w:pStyle w:val="ListParagraph"/>
        <w:numPr>
          <w:ilvl w:val="0"/>
          <w:numId w:val="2"/>
        </w:numPr>
        <w:spacing w:after="60" w:before="60"/>
      </w:pPr>
      <w:r>
        <w:rPr>
          <w:rFonts w:ascii="Arial" w:cs="Arial" w:eastAsia="Arial" w:hAnsi="Arial"/>
          <w:sz w:val="22"/>
          <w:szCs w:val="22"/>
        </w:rPr>
        <w:t xml:space="preserve">Innovación tecnológica incipiente: ausencia de expediente unificado, poca automatización, uso limitado de IA — 3/5, 60%</w:t>
      </w:r>
    </w:p>
    <w:p>
      <w:pPr>
        <w:pStyle w:val="ListParagraph"/>
        <w:numPr>
          <w:ilvl w:val="0"/>
          <w:numId w:val="2"/>
        </w:numPr>
        <w:spacing w:after="60" w:before="60"/>
      </w:pPr>
      <w:r>
        <w:rPr>
          <w:rFonts w:ascii="Arial" w:cs="Arial" w:eastAsia="Arial" w:hAnsi="Arial"/>
          <w:sz w:val="22"/>
          <w:szCs w:val="22"/>
        </w:rPr>
        <w:t xml:space="preserve">Articulación interinstitucional insuficiente con Fiscalía, Defensoría, Medicina Legal, INPEC — 4/5, 80%</w:t>
      </w:r>
    </w:p>
    <w:p>
      <w:pPr>
        <w:spacing w:after="60" w:before="60"/>
      </w:pPr>
      <w:r>
        <w:t xml:space="preserve"/>
      </w:r>
    </w:p>
    <w:p>
      <w:pPr>
        <w:spacing w:after="100" w:before="200"/>
      </w:pPr>
      <w:r>
        <w:rPr>
          <w:rFonts w:ascii="Arial" w:cs="Arial" w:eastAsia="Arial" w:hAnsi="Arial"/>
          <w:b/>
          <w:bCs/>
          <w:color w:val="000000"/>
          <w:sz w:val="24"/>
          <w:szCs w:val="24"/>
        </w:rPr>
        <w:t xml:space="preserve">Propuestas CFH</w:t>
      </w:r>
    </w:p>
    <w:p>
      <w:pPr>
        <w:pStyle w:val="ListParagraph"/>
        <w:numPr>
          <w:ilvl w:val="0"/>
          <w:numId w:val="2"/>
        </w:numPr>
        <w:spacing w:after="60" w:before="60"/>
      </w:pPr>
      <w:r>
        <w:rPr>
          <w:rFonts w:ascii="Arial" w:cs="Arial" w:eastAsia="Arial" w:hAnsi="Arial"/>
          <w:b/>
          <w:bCs/>
          <w:sz w:val="22"/>
          <w:szCs w:val="22"/>
        </w:rPr>
        <w:t xml:space="preserve">Expediente judicial inteligente: </w:t>
      </w:r>
      <w:r>
        <w:rPr>
          <w:rFonts w:ascii="Arial" w:cs="Arial" w:eastAsia="Arial" w:hAnsi="Arial"/>
          <w:sz w:val="22"/>
          <w:szCs w:val="22"/>
        </w:rPr>
        <w:t xml:space="preserve">El pipeline CFH (Whisper + CFH-BERT) es el núcleo técnico de un expediente judicial inteligente — transcribe audiencias, clasifica hechos, extrae sujetos y genera fichas de audiencia automáticas. No requiere integración técnica costosa entre sistemas — opera sobre el texto que ya existe.</w:t>
      </w:r>
    </w:p>
    <w:p>
      <w:pPr>
        <w:pStyle w:val="ListParagraph"/>
        <w:numPr>
          <w:ilvl w:val="0"/>
          <w:numId w:val="2"/>
        </w:numPr>
        <w:spacing w:after="60" w:before="60"/>
      </w:pPr>
      <w:r>
        <w:rPr>
          <w:rFonts w:ascii="Arial" w:cs="Arial" w:eastAsia="Arial" w:hAnsi="Arial"/>
          <w:b/>
          <w:bCs/>
          <w:sz w:val="22"/>
          <w:szCs w:val="22"/>
        </w:rPr>
        <w:t xml:space="preserve">Programación inteligente de audiencias: </w:t>
      </w:r>
      <w:r>
        <w:rPr>
          <w:rFonts w:ascii="Arial" w:cs="Arial" w:eastAsia="Arial" w:hAnsi="Arial"/>
          <w:sz w:val="22"/>
          <w:szCs w:val="22"/>
        </w:rPr>
        <w:t xml:space="preserve">Modelo predictivo de frustración de audiencias construido sobre corpus histórico clasificado — estima riesgo de suspensión por tipo de audiencia, etapa procesal, actor responsable. Alimenta la programación racional que los grupos identificaron como buena práctica.</w:t>
      </w:r>
    </w:p>
    <w:p>
      <w:pPr>
        <w:pStyle w:val="ListParagraph"/>
        <w:numPr>
          <w:ilvl w:val="0"/>
          <w:numId w:val="2"/>
        </w:numPr>
        <w:spacing w:after="60" w:before="60"/>
      </w:pPr>
      <w:r>
        <w:rPr>
          <w:rFonts w:ascii="Arial" w:cs="Arial" w:eastAsia="Arial" w:hAnsi="Arial"/>
          <w:b/>
          <w:bCs/>
          <w:sz w:val="22"/>
          <w:szCs w:val="22"/>
        </w:rPr>
        <w:t xml:space="preserve">Monitor de prescripción: </w:t>
      </w:r>
      <w:r>
        <w:rPr>
          <w:rFonts w:ascii="Arial" w:cs="Arial" w:eastAsia="Arial" w:hAnsi="Arial"/>
          <w:sz w:val="22"/>
          <w:szCs w:val="22"/>
        </w:rPr>
        <w:t xml:space="preserve">Alerta automática de casos en riesgo de prescripción próxima — procesando corpus de expedientes por tiempo transcurrido, tipo de delito y etapa procesal. No es ilusión: es intervención anticipada basada en datos, no en queja.</w:t>
      </w:r>
    </w:p>
    <w:p>
      <w:pPr>
        <w:pStyle w:val="ListParagraph"/>
        <w:numPr>
          <w:ilvl w:val="0"/>
          <w:numId w:val="2"/>
        </w:numPr>
        <w:spacing w:after="60" w:before="60"/>
      </w:pPr>
      <w:r>
        <w:rPr>
          <w:rFonts w:ascii="Arial" w:cs="Arial" w:eastAsia="Arial" w:hAnsi="Arial"/>
          <w:b/>
          <w:bCs/>
          <w:sz w:val="22"/>
          <w:szCs w:val="22"/>
        </w:rPr>
        <w:t xml:space="preserve">Deduplicación de expedientes: </w:t>
      </w:r>
      <w:r>
        <w:rPr>
          <w:rFonts w:ascii="Arial" w:cs="Arial" w:eastAsia="Arial" w:hAnsi="Arial"/>
          <w:sz w:val="22"/>
          <w:szCs w:val="22"/>
        </w:rPr>
        <w:t xml:space="preserve">Detección automática de expedientes duplicados por similitud semántica de narrativas — problema operativo con solución NLP directa.</w:t>
      </w:r>
    </w:p>
    <w:p>
      <w:pPr>
        <w:pStyle w:val="ListParagraph"/>
        <w:numPr>
          <w:ilvl w:val="0"/>
          <w:numId w:val="2"/>
        </w:numPr>
        <w:spacing w:after="60" w:before="60"/>
      </w:pPr>
      <w:r>
        <w:rPr>
          <w:rFonts w:ascii="Arial" w:cs="Arial" w:eastAsia="Arial" w:hAnsi="Arial"/>
          <w:b/>
          <w:bCs/>
          <w:sz w:val="22"/>
          <w:szCs w:val="22"/>
        </w:rPr>
        <w:t xml:space="preserve">Formación en la Escuela Judicial: </w:t>
      </w:r>
      <w:r>
        <w:rPr>
          <w:rFonts w:ascii="Arial" w:cs="Arial" w:eastAsia="Arial" w:hAnsi="Arial"/>
          <w:sz w:val="22"/>
          <w:szCs w:val="22"/>
        </w:rPr>
        <w:t xml:space="preserve">Módulos de formación para la Escuela Judicial Rodrigo Lara Bonilla basados en corpus real colombiano: análisis de patrones de objeción exitosa, modelado de razonamiento probatorio, identificación de autocensura judicial.</w:t>
      </w:r>
    </w:p>
    <w:p>
      <w:pPr>
        <w:pStyle w:val="ListParagraph"/>
        <w:numPr>
          <w:ilvl w:val="0"/>
          <w:numId w:val="2"/>
        </w:numPr>
        <w:spacing w:after="60" w:before="60"/>
      </w:pPr>
      <w:r>
        <w:rPr>
          <w:rFonts w:ascii="Arial" w:cs="Arial" w:eastAsia="Arial" w:hAnsi="Arial"/>
          <w:b/>
          <w:bCs/>
          <w:sz w:val="22"/>
          <w:szCs w:val="22"/>
        </w:rPr>
        <w:t xml:space="preserve">Apoyo al sistema disciplinario: </w:t>
      </w:r>
      <w:r>
        <w:rPr>
          <w:rFonts w:ascii="Arial" w:cs="Arial" w:eastAsia="Arial" w:hAnsi="Arial"/>
          <w:sz w:val="22"/>
          <w:szCs w:val="22"/>
        </w:rPr>
        <w:t xml:space="preserve">El CFH puede identificar patrones decisionales sistemáticos — no errores aislados — que informen correcciones formativas antes de que lleguen al proceso disciplinario.</w:t>
      </w:r>
    </w:p>
    <w:p>
      <w:pPr>
        <w:spacing w:after="60" w:before="60"/>
      </w:pPr>
      <w:r>
        <w:t xml:space="preserve"/>
      </w:r>
    </w:p>
    <w:p>
      <w:pPr>
        <w:pStyle w:val="Heading1"/>
        <w:spacing w:after="180" w:before="360"/>
      </w:pPr>
      <w:r>
        <w:rPr>
          <w:rFonts w:ascii="Arial" w:cs="Arial" w:eastAsia="Arial" w:hAnsi="Arial"/>
          <w:b/>
          <w:bCs/>
          <w:color w:val="1B5E20"/>
          <w:sz w:val="32"/>
          <w:szCs w:val="32"/>
        </w:rPr>
        <w:t xml:space="preserve">5. La Pregunta Transversal: ¿Es el SPA un Sistema?</w:t>
      </w:r>
    </w:p>
    <w:p>
      <w:pPr>
        <w:spacing w:after="80" w:before="80" w:line="280"/>
        <w:jc w:val="both"/>
      </w:pPr>
      <w:r>
        <w:rPr>
          <w:rFonts w:ascii="Arial" w:cs="Arial" w:eastAsia="Arial" w:hAnsi="Arial"/>
          <w:sz w:val="22"/>
          <w:szCs w:val="22"/>
        </w:rPr>
        <w:t xml:space="preserve">El diagnóstico de los cinco grupos plantea implícitamente una pregunta filosófica con consecuencias prácticas enormes: ¿el SPA opera como un sistema o como una cadena de etapas desconectadas?</w:t>
      </w:r>
    </w:p>
    <w:p>
      <w:pPr>
        <w:spacing w:after="60" w:before="60"/>
      </w:pPr>
      <w:r>
        <w:t xml:space="preserve"/>
      </w:r>
    </w:p>
    <w:p>
      <w:pPr>
        <w:spacing w:after="80" w:before="80" w:line="280"/>
        <w:jc w:val="both"/>
      </w:pPr>
      <w:r>
        <w:rPr>
          <w:rFonts w:ascii="Arial" w:cs="Arial" w:eastAsia="Arial" w:hAnsi="Arial"/>
          <w:sz w:val="22"/>
          <w:szCs w:val="22"/>
        </w:rPr>
        <w:t xml:space="preserve">Un sistema real transforma inputs en outputs de manera trazable con memoria institucional y retroalimentación efectiva. El diagnóstico revela lo contrario: narrativas que se fragmentan entre etapas, información que desaparece entre instancias, decisiones que no conectan con su ejecución.</w:t>
      </w:r>
    </w:p>
    <w:p>
      <w:pPr>
        <w:spacing w:after="60" w:before="60"/>
      </w:pPr>
      <w:r>
        <w:t xml:space="preserve"/>
      </w:r>
    </w:p>
    <w:p>
      <w:pPr>
        <w:pBdr>
          <w:left w:val="single" w:color="2E7D32" w:sz="6" w:space="6"/>
        </w:pBdr>
        <w:spacing w:after="160" w:before="160" w:line="280"/>
        <w:ind w:left="720" w:right="720"/>
        <w:jc w:val="both"/>
      </w:pPr>
      <w:r>
        <w:rPr>
          <w:rFonts w:ascii="Arial" w:cs="Arial" w:eastAsia="Arial" w:hAnsi="Arial"/>
          <w:i/>
          <w:iCs/>
          <w:color w:val="333333"/>
          <w:sz w:val="22"/>
          <w:szCs w:val="22"/>
        </w:rPr>
        <w:t xml:space="preserve">El CFH puede responder empíricamente si el SPA opera como sistema — analizando si las narrativas se transforman coherentemente a lo largo del proceso o si se fragmentan y pierden información. Cada ruptura narrativa entre etapas es evidencia de falla sistémica — no percepción, dato.</w:t>
      </w:r>
    </w:p>
    <w:p>
      <w:pPr>
        <w:spacing w:after="60" w:before="60"/>
      </w:pPr>
      <w:r>
        <w:t xml:space="preserve"/>
      </w:r>
    </w:p>
    <w:p>
      <w:pPr>
        <w:spacing w:after="80" w:before="80" w:line="280"/>
        <w:jc w:val="both"/>
      </w:pPr>
      <w:r>
        <w:rPr>
          <w:rFonts w:ascii="Arial" w:cs="Arial" w:eastAsia="Arial" w:hAnsi="Arial"/>
          <w:sz w:val="22"/>
          <w:szCs w:val="22"/>
        </w:rPr>
        <w:t xml:space="preserve">La trazabilidad narrativa del CFH — imputación → acusación → juicio oral → sentencia → ejecución — produce un Índice de Sistemicidad del SPA. Este índice es el primer insumo científico para responder qué debe reformarse y en qué orden.</w:t>
      </w:r>
    </w:p>
    <w:p>
      <w:pPr>
        <w:spacing w:after="60" w:before="60"/>
      </w:pPr>
      <w:r>
        <w:t xml:space="preserve"/>
      </w:r>
    </w:p>
    <w:p>
      <w:pPr>
        <w:pStyle w:val="Heading1"/>
        <w:spacing w:after="180" w:before="360"/>
      </w:pPr>
      <w:r>
        <w:rPr>
          <w:rFonts w:ascii="Arial" w:cs="Arial" w:eastAsia="Arial" w:hAnsi="Arial"/>
          <w:b/>
          <w:bCs/>
          <w:color w:val="1B5E20"/>
          <w:sz w:val="32"/>
          <w:szCs w:val="32"/>
        </w:rPr>
        <w:t xml:space="preserve">6. Plan de Acción: CFH en la Política Criminal</w:t>
      </w:r>
    </w:p>
    <w:p>
      <w:pPr>
        <w:spacing w:after="80" w:before="80" w:line="280"/>
        <w:jc w:val="both"/>
      </w:pPr>
      <w:r>
        <w:rPr>
          <w:rFonts w:ascii="Arial" w:cs="Arial" w:eastAsia="Arial" w:hAnsi="Arial"/>
          <w:sz w:val="22"/>
          <w:szCs w:val="22"/>
        </w:rPr>
        <w:t xml:space="preserve">Las siguientes acciones se organizan por horizonte de implementación y anclan con las implicaciones institucionales identificadas en el diagnóstico: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2400"/>
        <w:gridCol w:w="2400"/>
      </w:tblGrid>
      <w:tr>
        <w:tc>
          <w:tcPr>
            <w:tcW w:type="dxa" w:w="144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Horizonte</w:t>
            </w:r>
          </w:p>
        </w:tc>
        <w:tc>
          <w:tcPr>
            <w:tcW w:type="dxa" w:w="312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 CFH</w:t>
            </w:r>
          </w:p>
        </w:tc>
        <w:tc>
          <w:tcPr>
            <w:tcW w:type="dxa" w:w="2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Responde a</w:t>
            </w:r>
          </w:p>
        </w:tc>
        <w:tc>
          <w:tcPr>
            <w:tcW w:type="dxa" w:w="24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Institución líder</w:t>
            </w:r>
          </w:p>
        </w:tc>
      </w:tr>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0–12 meses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Corpus judicial nacional: mandato al CSJ, FGN e INPEC de sistematizar y anonimizar audiencias SPA. El pipeline CFH ya está disponible.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Mesa 1 (gestión info), Mesa 5 (innovación)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CSJ — Dirección Ejecutiva</w:t>
            </w:r>
          </w:p>
        </w:tc>
      </w:tr>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0–12 meses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Monitor de prescripción: alerta automática de casos en riesgo. Implementable sobre sistemas existentes.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Mesa 5 (gestión procesos, 80%)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CSJ — Despachos judiciales</w:t>
            </w:r>
          </w:p>
        </w:tc>
      </w:tr>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12–24 meses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Módulos CFH en Escuela Judicial: simulador de juicio oral, análisis de objeción y razonamiento probatorio con corpus real.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Mesa 2 (capacidades), Mesa 5 (talento, 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Escuela Judicial Rodrigo Lara Bonilla</w:t>
            </w:r>
          </w:p>
        </w:tc>
      </w:tr>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12–24 meses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Tablero de fines de la pena: dashboard que mide en tiempo real qué finalidades operan en decisiones judiciales por distrito y tipo de delito.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Mesa 1 (ius puniendi, 100%), Mesa 4 (retributivismo, 80%)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CSJ — Sala Administrativa</w:t>
            </w:r>
          </w:p>
        </w:tc>
      </w:tr>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12–36 meses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Índice CFH de cumplimiento ECI: monitoreo continuo de penetración del lenguaje de derechos fundamentales en decisiones carcelarias.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Mesa 3 (ECI, T-762/2015)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CSJ + Defensoría del Pueblo</w:t>
            </w:r>
          </w:p>
        </w:tc>
      </w:tr>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12–36 meses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Auditoría de proporcionalidad: detección de dispersión punitiva entre delitos similares con sanciones dispares.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Mesa 1 (proporcionalidad, 100%)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CSJ — Sala Penal</w:t>
            </w:r>
          </w:p>
        </w:tc>
      </w:tr>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36–60 meses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Observatorio Nacional de Narrativas Judiciales: institucionalización del CFH como herramienta permanente de monitoreo del SPA.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Todas las mesas — respuesta sistémica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CSJ + MinJusticia + Academia</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5E20"/>
          <w:sz w:val="32"/>
          <w:szCs w:val="32"/>
        </w:rPr>
        <w:t xml:space="preserve">7. Límites, Garantías y Principios de Implementación</w:t>
      </w:r>
    </w:p>
    <w:p>
      <w:pPr>
        <w:spacing w:after="80" w:before="80" w:line="280"/>
        <w:jc w:val="both"/>
      </w:pPr>
      <w:r>
        <w:rPr>
          <w:rFonts w:ascii="Arial" w:cs="Arial" w:eastAsia="Arial" w:hAnsi="Arial"/>
          <w:sz w:val="22"/>
          <w:szCs w:val="22"/>
        </w:rPr>
        <w:t xml:space="preserve">Una propuesta de IA para el sistema judicial debe explicitar con honestidad lo que puede y lo que no puede hacer:</w:t>
      </w:r>
    </w:p>
    <w:p>
      <w:pPr>
        <w:spacing w:after="60" w:before="60"/>
      </w:pPr>
      <w:r>
        <w:t xml:space="preserve"/>
      </w:r>
    </w:p>
    <w:p>
      <w:pPr>
        <w:spacing w:after="100" w:before="200"/>
      </w:pPr>
      <w:r>
        <w:rPr>
          <w:rFonts w:ascii="Arial" w:cs="Arial" w:eastAsia="Arial" w:hAnsi="Arial"/>
          <w:b/>
          <w:bCs/>
          <w:color w:val="000000"/>
          <w:sz w:val="24"/>
          <w:szCs w:val="24"/>
        </w:rPr>
        <w:t xml:space="preserve">Lo que el CFH NO hace</w:t>
      </w:r>
    </w:p>
    <w:p>
      <w:pPr>
        <w:pStyle w:val="ListParagraph"/>
        <w:numPr>
          <w:ilvl w:val="0"/>
          <w:numId w:val="2"/>
        </w:numPr>
        <w:spacing w:after="60" w:before="60"/>
      </w:pPr>
      <w:r>
        <w:rPr>
          <w:rFonts w:ascii="Arial" w:cs="Arial" w:eastAsia="Arial" w:hAnsi="Arial"/>
          <w:sz w:val="22"/>
          <w:szCs w:val="22"/>
        </w:rPr>
        <w:t xml:space="preserve">No reemplaza la decisión judicial — produce insumos analíticos, no veredictos</w:t>
      </w:r>
    </w:p>
    <w:p>
      <w:pPr>
        <w:pStyle w:val="ListParagraph"/>
        <w:numPr>
          <w:ilvl w:val="0"/>
          <w:numId w:val="2"/>
        </w:numPr>
        <w:spacing w:after="60" w:before="60"/>
      </w:pPr>
      <w:r>
        <w:rPr>
          <w:rFonts w:ascii="Arial" w:cs="Arial" w:eastAsia="Arial" w:hAnsi="Arial"/>
          <w:sz w:val="22"/>
          <w:szCs w:val="22"/>
        </w:rPr>
        <w:t xml:space="preserve">No predice comportamiento individual — identifica patrones colectivos</w:t>
      </w:r>
    </w:p>
    <w:p>
      <w:pPr>
        <w:pStyle w:val="ListParagraph"/>
        <w:numPr>
          <w:ilvl w:val="0"/>
          <w:numId w:val="2"/>
        </w:numPr>
        <w:spacing w:after="60" w:before="60"/>
      </w:pPr>
      <w:r>
        <w:rPr>
          <w:rFonts w:ascii="Arial" w:cs="Arial" w:eastAsia="Arial" w:hAnsi="Arial"/>
          <w:sz w:val="22"/>
          <w:szCs w:val="22"/>
        </w:rPr>
        <w:t xml:space="preserve">No es un instrumento de vigilancia de jueces — es un espejo institucional para mejora sistémica</w:t>
      </w:r>
    </w:p>
    <w:p>
      <w:pPr>
        <w:pStyle w:val="ListParagraph"/>
        <w:numPr>
          <w:ilvl w:val="0"/>
          <w:numId w:val="2"/>
        </w:numPr>
        <w:spacing w:after="60" w:before="60"/>
      </w:pPr>
      <w:r>
        <w:rPr>
          <w:rFonts w:ascii="Arial" w:cs="Arial" w:eastAsia="Arial" w:hAnsi="Arial"/>
          <w:sz w:val="22"/>
          <w:szCs w:val="22"/>
        </w:rPr>
        <w:t xml:space="preserve">No opera en todos los tipos de delito con el mismo corpus actual — requiere adaptación progresiva por dominio</w:t>
      </w:r>
    </w:p>
    <w:p>
      <w:pPr>
        <w:spacing w:after="60" w:before="60"/>
      </w:pPr>
      <w:r>
        <w:t xml:space="preserve"/>
      </w:r>
    </w:p>
    <w:p>
      <w:pPr>
        <w:spacing w:after="100" w:before="200"/>
      </w:pPr>
      <w:r>
        <w:rPr>
          <w:rFonts w:ascii="Arial" w:cs="Arial" w:eastAsia="Arial" w:hAnsi="Arial"/>
          <w:b/>
          <w:bCs/>
          <w:color w:val="000000"/>
          <w:sz w:val="24"/>
          <w:szCs w:val="24"/>
        </w:rPr>
        <w:t xml:space="preserve">Garantías de implementación</w:t>
      </w:r>
    </w:p>
    <w:p>
      <w:pPr>
        <w:pStyle w:val="ListParagraph"/>
        <w:numPr>
          <w:ilvl w:val="0"/>
          <w:numId w:val="2"/>
        </w:numPr>
        <w:spacing w:after="60" w:before="60"/>
      </w:pPr>
      <w:r>
        <w:rPr>
          <w:rFonts w:ascii="Arial" w:cs="Arial" w:eastAsia="Arial" w:hAnsi="Arial"/>
          <w:sz w:val="22"/>
          <w:szCs w:val="22"/>
        </w:rPr>
        <w:t xml:space="preserve">Anonimización estricta de todos los datos procesados — no trazabilidad individual de operadores</w:t>
      </w:r>
    </w:p>
    <w:p>
      <w:pPr>
        <w:pStyle w:val="ListParagraph"/>
        <w:numPr>
          <w:ilvl w:val="0"/>
          <w:numId w:val="2"/>
        </w:numPr>
        <w:spacing w:after="60" w:before="60"/>
      </w:pPr>
      <w:r>
        <w:rPr>
          <w:rFonts w:ascii="Arial" w:cs="Arial" w:eastAsia="Arial" w:hAnsi="Arial"/>
          <w:sz w:val="22"/>
          <w:szCs w:val="22"/>
        </w:rPr>
        <w:t xml:space="preserve">Supervisión humana permanente de resultados — el CFH informa, el juez decide</w:t>
      </w:r>
    </w:p>
    <w:p>
      <w:pPr>
        <w:pStyle w:val="ListParagraph"/>
        <w:numPr>
          <w:ilvl w:val="0"/>
          <w:numId w:val="2"/>
        </w:numPr>
        <w:spacing w:after="60" w:before="60"/>
      </w:pPr>
      <w:r>
        <w:rPr>
          <w:rFonts w:ascii="Arial" w:cs="Arial" w:eastAsia="Arial" w:hAnsi="Arial"/>
          <w:sz w:val="22"/>
          <w:szCs w:val="22"/>
        </w:rPr>
        <w:t xml:space="preserve">Código abierto y auditable — cualquier entidad puede verificar los modelos y los datos</w:t>
      </w:r>
    </w:p>
    <w:p>
      <w:pPr>
        <w:pStyle w:val="ListParagraph"/>
        <w:numPr>
          <w:ilvl w:val="0"/>
          <w:numId w:val="2"/>
        </w:numPr>
        <w:spacing w:after="60" w:before="60"/>
      </w:pPr>
      <w:r>
        <w:rPr>
          <w:rFonts w:ascii="Arial" w:cs="Arial" w:eastAsia="Arial" w:hAnsi="Arial"/>
          <w:sz w:val="22"/>
          <w:szCs w:val="22"/>
        </w:rPr>
        <w:t xml:space="preserve">Construcción participativa con operadores judiciales — no imposición tecnológica</w:t>
      </w:r>
    </w:p>
    <w:p>
      <w:pPr>
        <w:spacing w:after="60" w:before="60"/>
      </w:pPr>
      <w:r>
        <w:t xml:space="preserve"/>
      </w:r>
    </w:p>
    <w:p>
      <w:pPr>
        <w:spacing w:after="100" w:before="200"/>
      </w:pPr>
      <w:r>
        <w:rPr>
          <w:rFonts w:ascii="Arial" w:cs="Arial" w:eastAsia="Arial" w:hAnsi="Arial"/>
          <w:b/>
          <w:bCs/>
          <w:color w:val="000000"/>
          <w:sz w:val="24"/>
          <w:szCs w:val="24"/>
        </w:rPr>
        <w:t xml:space="preserve">Respuesta a la objeción: ¿los datos son ilusión?</w:t>
      </w:r>
    </w:p>
    <w:p>
      <w:pPr>
        <w:pBdr>
          <w:left w:val="single" w:color="2E7D32" w:sz="6" w:space="6"/>
        </w:pBdr>
        <w:spacing w:after="160" w:before="160" w:line="280"/>
        <w:ind w:left="720" w:right="720"/>
        <w:jc w:val="both"/>
      </w:pPr>
      <w:r>
        <w:rPr>
          <w:rFonts w:ascii="Arial" w:cs="Arial" w:eastAsia="Arial" w:hAnsi="Arial"/>
          <w:i/>
          <w:iCs/>
          <w:color w:val="333333"/>
          <w:sz w:val="22"/>
          <w:szCs w:val="22"/>
        </w:rPr>
        <w:t xml:space="preserve">La ilusión no es creer que los datos resuelven todo. La ilusión es creer que podemos reformar un sistema que no podemos medir. Veinticinco años de Estado de Cosas Inconstitucional carcelario son la prueba de que las buenas intenciones sin evidencia producen exactamente eso: ilusión.</w:t>
      </w:r>
    </w:p>
    <w:p>
      <w:pPr>
        <w:spacing w:after="60" w:before="60"/>
      </w:pPr>
      <w:r>
        <w:t xml:space="preserve"/>
      </w:r>
    </w:p>
    <w:p>
      <w:pPr>
        <w:pStyle w:val="Heading1"/>
        <w:spacing w:after="180" w:before="360"/>
      </w:pPr>
      <w:r>
        <w:rPr>
          <w:rFonts w:ascii="Arial" w:cs="Arial" w:eastAsia="Arial" w:hAnsi="Arial"/>
          <w:b/>
          <w:bCs/>
          <w:color w:val="1B5E20"/>
          <w:sz w:val="32"/>
          <w:szCs w:val="32"/>
        </w:rPr>
        <w:t xml:space="preserve">8. Argumento de Cierre</w:t>
      </w:r>
    </w:p>
    <w:p>
      <w:pPr>
        <w:spacing w:after="80" w:before="80" w:line="280"/>
        <w:jc w:val="both"/>
      </w:pPr>
      <w:r>
        <w:rPr>
          <w:rFonts w:ascii="Arial" w:cs="Arial" w:eastAsia="Arial" w:hAnsi="Arial"/>
          <w:sz w:val="22"/>
          <w:szCs w:val="22"/>
        </w:rPr>
        <w:t xml:space="preserve">Las cinco mesas del World Café han documentado con rigor empírico lo que el sistema sabe de sí mismo pero no puede medir. El diagnóstico es poderoso — y precisamente por eso exige una respuesta a la altura.</w:t>
      </w:r>
    </w:p>
    <w:p>
      <w:pPr>
        <w:spacing w:after="60" w:before="60"/>
      </w:pPr>
      <w:r>
        <w:t xml:space="preserve"/>
      </w:r>
    </w:p>
    <w:p>
      <w:pPr>
        <w:spacing w:after="80" w:before="80" w:line="280"/>
        <w:jc w:val="both"/>
      </w:pPr>
      <w:r>
        <w:rPr>
          <w:rFonts w:ascii="Arial" w:cs="Arial" w:eastAsia="Arial" w:hAnsi="Arial"/>
          <w:sz w:val="22"/>
          <w:szCs w:val="22"/>
        </w:rPr>
        <w:t xml:space="preserve">La Hermenéutica Forense Computacional propone que Colombia, que tiene en la JEP y el SPA dos de los archivos judiciales más ricos de América Latina, construya la capacidad de leerlos sistemáticamente. No para vigilar a sus jueces, sino para que el sistema aprenda de sí mismo.</w:t>
      </w:r>
    </w:p>
    <w:p>
      <w:pPr>
        <w:spacing w:after="60" w:before="60"/>
      </w:pPr>
      <w:r>
        <w:t xml:space="preserve"/>
      </w:r>
    </w:p>
    <w:p>
      <w:pPr>
        <w:pBdr>
          <w:left w:val="single" w:color="2E7D32" w:sz="6" w:space="6"/>
        </w:pBdr>
        <w:spacing w:after="160" w:before="160" w:line="280"/>
        <w:ind w:left="720" w:right="720"/>
        <w:jc w:val="both"/>
      </w:pPr>
      <w:r>
        <w:rPr>
          <w:rFonts w:ascii="Arial" w:cs="Arial" w:eastAsia="Arial" w:hAnsi="Arial"/>
          <w:i/>
          <w:iCs/>
          <w:color w:val="333333"/>
          <w:sz w:val="22"/>
          <w:szCs w:val="22"/>
        </w:rPr>
        <w:t xml:space="preserve">La pregunta no es si usar inteligencia artificial en el sistema penal. La pregunta es si vamos a usarla para que el sistema pueda verse a sí mismo — o si vamos a seguir diagnosticando con percepción lo que ya podemos medir con datos.</w:t>
      </w:r>
    </w:p>
    <w:p>
      <w:pPr>
        <w:spacing w:after="60" w:before="60"/>
      </w:pPr>
      <w:r>
        <w:t xml:space="preserve"/>
      </w:r>
    </w:p>
    <w:p>
      <w:pPr>
        <w:spacing w:after="80" w:before="80" w:line="280"/>
        <w:jc w:val="both"/>
      </w:pPr>
      <w:r>
        <w:rPr>
          <w:rFonts w:ascii="Arial" w:cs="Arial" w:eastAsia="Arial" w:hAnsi="Arial"/>
          <w:sz w:val="22"/>
          <w:szCs w:val="22"/>
        </w:rPr>
        <w:t xml:space="preserve">El CFH está desarrollado. El corpus existe. Los modelos están validados. Lo que esta política criminal necesita es la decisión institucional de convertir esa capacidad técnica en inteligencia pública al servicio de la justicia.</w:t>
      </w:r>
    </w:p>
    <w:p>
      <w:pPr>
        <w:spacing w:after="60" w:before="60"/>
      </w:pPr>
      <w:r>
        <w:t xml:space="preserve"/>
      </w:r>
    </w:p>
    <w:p>
      <w:pPr>
        <w:spacing w:after="60" w:before="60"/>
      </w:pPr>
      <w:r>
        <w:t xml:space="preserve"/>
      </w:r>
    </w:p>
    <w:p>
      <w:pPr>
        <w:pBdr>
          <w:top w:val="single" w:color="2E7D32" w:sz="4"/>
        </w:pBdr>
        <w:spacing w:after="120" w:before="240"/>
        <w:jc w:val="center"/>
      </w:pPr>
      <w:r>
        <w:rPr>
          <w:rFonts w:ascii="Arial" w:cs="Arial" w:eastAsia="Arial" w:hAnsi="Arial"/>
          <w:i/>
          <w:iCs/>
          <w:color w:val="666666"/>
          <w:sz w:val="18"/>
          <w:szCs w:val="18"/>
        </w:rPr>
        <w:t xml:space="preserve">Hermenéutica Forense Computacional (CFH) — Universidad Externado de Colombia —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2026-05-26T15:56:09.953Z</dcterms:created>
  <dcterms:modified xsi:type="dcterms:W3CDTF">2026-05-26T15:56:09.953Z</dcterms:modified>
</cp:coreProperties>
</file>

<file path=docProps/custom.xml><?xml version="1.0" encoding="utf-8"?>
<Properties xmlns="http://schemas.openxmlformats.org/officeDocument/2006/custom-properties" xmlns:vt="http://schemas.openxmlformats.org/officeDocument/2006/docPropsVTypes"/>
</file>