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80" w:before="0"/>
        <w:jc w:val="center"/>
      </w:pPr>
      <w:r>
        <w:rPr>
          <w:rFonts w:ascii="Arial" w:cs="Arial" w:eastAsia="Arial" w:hAnsi="Arial"/>
          <w:b/>
          <w:bCs/>
          <w:color w:val="D0D7E3"/>
          <w:sz w:val="20"/>
          <w:szCs w:val="20"/>
        </w:rPr>
        <w:t xml:space="preserve">JURISDICCIÓN ESPECIAL PARA LA PAZ</w:t>
      </w:r>
    </w:p>
    <w:p>
      <w:pPr>
        <w:spacing w:after="400" w:before="0"/>
        <w:jc w:val="center"/>
      </w:pPr>
      <w:r>
        <w:rPr>
          <w:rFonts w:ascii="Arial" w:cs="Arial" w:eastAsia="Arial" w:hAnsi="Arial"/>
          <w:color w:val="D0D7E3"/>
          <w:sz w:val="18"/>
          <w:szCs w:val="18"/>
        </w:rPr>
        <w:t xml:space="preserve">Secretaría General — Sistema de Monitoreo de Reparación Discursiva</w:t>
      </w:r>
    </w:p>
    <w:p>
      <w:pPr>
        <w:pBdr>
          <w:bottom w:val="single" w:color="0D7377" w:sz="8" w:space="1"/>
        </w:pBdr>
        <w:spacing w:after="200" w:before="0"/>
        <w:jc w:val="center"/>
      </w:pPr>
      <w:r>
        <w:t xml:space="preserve"/>
      </w:r>
    </w:p>
    <w:p>
      <w:pPr>
        <w:spacing w:after="60" w:before="0"/>
      </w:pPr>
      <w:r>
        <w:t xml:space="preserve"/>
      </w:r>
    </w:p>
    <w:p>
      <w:pPr>
        <w:spacing w:after="120" w:before="0"/>
        <w:jc w:val="center"/>
      </w:pPr>
      <w:r>
        <w:rPr>
          <w:rFonts w:ascii="Arial" w:cs="Arial" w:eastAsia="Arial" w:hAnsi="Arial"/>
          <w:b/>
          <w:bCs/>
          <w:color w:val="1F3A6E"/>
          <w:sz w:val="48"/>
          <w:szCs w:val="48"/>
        </w:rPr>
        <w:t xml:space="preserve">PLAN DE TRABAJO</w:t>
      </w:r>
    </w:p>
    <w:p>
      <w:pPr>
        <w:spacing w:after="80" w:before="0"/>
        <w:jc w:val="center"/>
      </w:pPr>
      <w:r>
        <w:rPr>
          <w:rFonts w:ascii="Arial" w:cs="Arial" w:eastAsia="Arial" w:hAnsi="Arial"/>
          <w:b w:val="false"/>
          <w:bCs w:val="false"/>
          <w:color w:val="0D7377"/>
          <w:sz w:val="28"/>
          <w:szCs w:val="28"/>
        </w:rPr>
        <w:t xml:space="preserve">Metodología Interdisciplinaria y Herramienta Tecnológica</w:t>
      </w:r>
    </w:p>
    <w:p>
      <w:pPr>
        <w:spacing w:after="80" w:before="0"/>
        <w:jc w:val="center"/>
      </w:pPr>
      <w:r>
        <w:rPr>
          <w:rFonts w:ascii="Arial" w:cs="Arial" w:eastAsia="Arial" w:hAnsi="Arial"/>
          <w:color w:val="0D7377"/>
          <w:sz w:val="24"/>
          <w:szCs w:val="24"/>
        </w:rPr>
        <w:t xml:space="preserve">para el Análisis de Providencias Judiciales con Enfoque Restaurativo</w:t>
      </w:r>
    </w:p>
    <w:p>
      <w:pPr>
        <w:spacing w:after="120" w:before="0"/>
      </w:pPr>
      <w:r>
        <w:t xml:space="preserve"/>
      </w:r>
    </w:p>
    <w:p>
      <w:pPr>
        <w:spacing w:after="60" w:before="0"/>
        <w:jc w:val="center"/>
      </w:pPr>
      <w:r>
        <w:rPr>
          <w:rFonts w:ascii="Arial" w:cs="Arial" w:eastAsia="Arial" w:hAnsi="Arial"/>
          <w:color w:val="555555"/>
          <w:sz w:val="20"/>
          <w:szCs w:val="20"/>
        </w:rPr>
        <w:t xml:space="preserve">Fundamentado en el Framework de</w:t>
      </w:r>
    </w:p>
    <w:p>
      <w:pPr>
        <w:spacing w:after="400" w:before="0"/>
        <w:jc w:val="center"/>
      </w:pPr>
      <w:r>
        <w:rPr>
          <w:rFonts w:ascii="Arial" w:cs="Arial" w:eastAsia="Arial" w:hAnsi="Arial"/>
          <w:b/>
          <w:bCs/>
          <w:color w:val="C9832A"/>
          <w:sz w:val="24"/>
          <w:szCs w:val="24"/>
        </w:rPr>
        <w:t xml:space="preserve">Hermenéutica Forense Computacional (CFH)</w:t>
      </w:r>
    </w:p>
    <w:p>
      <w:pPr>
        <w:spacing w:after="180" w:before="0"/>
      </w:pPr>
      <w:r>
        <w:t xml:space="preserve"/>
      </w:r>
    </w:p>
    <w:p>
      <w:pPr>
        <w:spacing w:after="60" w:before="0"/>
        <w:jc w:val="center"/>
      </w:pPr>
      <w:r>
        <w:rPr>
          <w:rFonts w:ascii="Arial" w:cs="Arial" w:eastAsia="Arial" w:hAnsi="Arial"/>
          <w:b/>
          <w:bCs/>
          <w:color w:val="1F3A6E"/>
          <w:sz w:val="22"/>
          <w:szCs w:val="22"/>
        </w:rPr>
        <w:t xml:space="preserve">Mireya Camacho Celis</w:t>
      </w:r>
    </w:p>
    <w:p>
      <w:pPr>
        <w:spacing w:after="60" w:before="0"/>
        <w:jc w:val="center"/>
      </w:pPr>
      <w:r>
        <w:rPr>
          <w:rFonts w:ascii="Arial" w:cs="Arial" w:eastAsia="Arial" w:hAnsi="Arial"/>
          <w:color w:val="555555"/>
          <w:sz w:val="18"/>
          <w:szCs w:val="18"/>
        </w:rPr>
        <w:t xml:space="preserve">Investigadora Principal — Hermenéutica Forense Computacional</w:t>
      </w:r>
    </w:p>
    <w:p>
      <w:pPr>
        <w:spacing w:after="60" w:before="0"/>
        <w:jc w:val="center"/>
      </w:pPr>
      <w:r>
        <w:rPr>
          <w:rFonts w:ascii="Arial" w:cs="Arial" w:eastAsia="Arial" w:hAnsi="Arial"/>
          <w:color w:val="555555"/>
          <w:sz w:val="18"/>
          <w:szCs w:val="18"/>
        </w:rPr>
        <w:t xml:space="preserve">Universidad Externado de Colombia</w:t>
      </w:r>
    </w:p>
    <w:p>
      <w:pPr>
        <w:spacing w:after="60" w:before="0"/>
        <w:jc w:val="center"/>
      </w:pPr>
      <w:r>
        <w:rPr>
          <w:rFonts w:ascii="Arial" w:cs="Arial" w:eastAsia="Arial" w:hAnsi="Arial"/>
          <w:color w:val="555555"/>
          <w:sz w:val="18"/>
          <w:szCs w:val="18"/>
        </w:rPr>
        <w:t xml:space="preserve">Bogotá, junio de 2026</w:t>
      </w:r>
    </w:p>
    <w:p>
      <w:r>
        <w:br w:type="page"/>
      </w:r>
    </w:p>
    <w:p>
      <w:pPr>
        <w:pStyle w:val="Heading1"/>
        <w:spacing w:after="160" w:before="400"/>
      </w:pPr>
      <w:r>
        <w:rPr>
          <w:rFonts w:ascii="Arial" w:cs="Arial" w:eastAsia="Arial" w:hAnsi="Arial"/>
          <w:b/>
          <w:bCs/>
          <w:color w:val="1F3A6E"/>
          <w:sz w:val="28"/>
          <w:szCs w:val="28"/>
        </w:rPr>
        <w:t xml:space="preserve">1. Introducción y Alineación con el Objeto Contractual</w:t>
      </w:r>
    </w:p>
    <w:p>
      <w:pPr>
        <w:pBdr>
          <w:bottom w:val="single" w:color="0D7377" w:sz="6" w:space="1"/>
        </w:pBdr>
        <w:spacing w:after="120" w:before="120"/>
      </w:pPr>
      <w:r>
        <w:t xml:space="preserve"/>
      </w:r>
    </w:p>
    <w:p>
      <w:pPr>
        <w:spacing w:after="100" w:before="60"/>
      </w:pPr>
      <w:r>
        <w:rPr>
          <w:rFonts w:ascii="Arial" w:cs="Arial" w:eastAsia="Arial" w:hAnsi="Arial"/>
          <w:color w:val="333333"/>
          <w:sz w:val="20"/>
          <w:szCs w:val="20"/>
        </w:rPr>
        <w:t xml:space="preserve">El presente plan de trabajo articula las ocho obligaciones específicas del contrato de consultoría con el framework de Hermenéutica Forense Computacional (CFH) desarrollado por la investigadora en el contexto del Macrocaso 003 de la JEP. La propuesta opera en la intersección entre tres dominios que raramente coexisten en una misma oferta consultora en América Latina: inteligencia artificial aplicada al lenguaje judicial, derecho transicional y justicia restaurativa, y derechos humanos con centralidad en las víctimas.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2"/>
              <w:bottom w:val="single" w:color="0D7377" w:sz="1"/>
              <w:right w:val="single" w:color="0D7377" w:sz="1"/>
            </w:tcBorders>
            <w:shd w:fill="E8F4F8" w:val="clear"/>
            <w:tcMar>
              <w:top w:type="dxa" w:w="120"/>
              <w:left w:type="dxa" w:w="200"/>
              <w:bottom w:type="dxa" w:w="120"/>
              <w:right w:type="dxa" w:w="200"/>
            </w:tcMar>
          </w:tcPr>
          <w:p>
            <w:r>
              <w:rPr>
                <w:rFonts w:ascii="Arial" w:cs="Arial" w:eastAsia="Arial" w:hAnsi="Arial"/>
                <w:b w:val="false"/>
                <w:bCs w:val="false"/>
                <w:color w:val="1F3A6E"/>
                <w:sz w:val="20"/>
                <w:szCs w:val="20"/>
              </w:rPr>
              <w:t xml:space="preserve">El framework CFH aporta a este contrato un andamiaje metodológico ya validado empíricamente: índices operacionales (DIS, IEI, ICM), modelos de lenguaje fine-tuned sobre corpus colombiano de conflicto, y resultados estadísticamente significativos sobre 300+ documentos y 38 horas de audiencias del Macrocaso 003. Esto reduce sustancialmente el tiempo de diseño desde cero y garantiza coherencia entre la metodología (Obligación 1) y la herramienta tecnológica (Obligación 3).</w:t>
            </w:r>
          </w:p>
        </w:tc>
      </w:tr>
    </w:tbl>
    <w:p>
      <w:pPr>
        <w:spacing w:after="60" w:before="0"/>
      </w:pPr>
      <w:r>
        <w:t xml:space="preserve"/>
      </w:r>
    </w:p>
    <w:p>
      <w:pPr>
        <w:spacing w:after="100" w:before="60"/>
      </w:pPr>
      <w:r>
        <w:rPr>
          <w:rFonts w:ascii="Arial" w:cs="Arial" w:eastAsia="Arial" w:hAnsi="Arial"/>
          <w:color w:val="333333"/>
          <w:sz w:val="20"/>
          <w:szCs w:val="20"/>
        </w:rPr>
        <w:t xml:space="preserve">El plan se organiza en cinco fases secuenciales (Fase 0 a Fase 4), con entregables concretos para cada obligación específica, cronograma de 12 meses, recursos técnicos detallados y estrategia de validación participativa con magistraturas, equipos de apoyo, organizaciones de víctimas y expertos externos.</w:t>
      </w:r>
    </w:p>
    <w:p>
      <w:pPr>
        <w:pStyle w:val="Heading1"/>
        <w:spacing w:after="160" w:before="400"/>
      </w:pPr>
      <w:r>
        <w:rPr>
          <w:rFonts w:ascii="Arial" w:cs="Arial" w:eastAsia="Arial" w:hAnsi="Arial"/>
          <w:b/>
          <w:bCs/>
          <w:color w:val="1F3A6E"/>
          <w:sz w:val="28"/>
          <w:szCs w:val="28"/>
        </w:rPr>
        <w:t xml:space="preserve">2. Mapa de Alineación: Obligaciones ↔ Framework CFH ↔ Fases</w:t>
      </w:r>
    </w:p>
    <w:p>
      <w:pPr>
        <w:pBdr>
          <w:bottom w:val="single" w:color="0D7377" w:sz="6" w:space="1"/>
        </w:pBdr>
        <w:spacing w:after="120" w:before="120"/>
      </w:pPr>
      <w:r>
        <w:t xml:space="preserve"/>
      </w:r>
    </w:p>
    <w:p>
      <w:pPr>
        <w:spacing w:after="100" w:before="60"/>
      </w:pPr>
      <w:r>
        <w:rPr>
          <w:rFonts w:ascii="Arial" w:cs="Arial" w:eastAsia="Arial" w:hAnsi="Arial"/>
          <w:color w:val="333333"/>
          <w:sz w:val="20"/>
          <w:szCs w:val="20"/>
        </w:rPr>
        <w:t xml:space="preserve">La siguiente tabla sintetiza cómo cada obligación específica se implementa mediante componentes del framework CFH ya desarrollados o en vías de desarrollo, y en qué fase del plan se ejecuta.</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2760"/>
        <w:gridCol w:w="1500"/>
        <w:gridCol w:w="1800"/>
      </w:tblGrid>
      <w:tr>
        <w:trPr>
          <w:tblHeader/>
        </w:trPr>
        <w:tc>
          <w:tcPr>
            <w:tcW w:type="dxa" w:w="6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Oblig.</w:t>
            </w:r>
          </w:p>
        </w:tc>
        <w:tc>
          <w:tcPr>
            <w:tcW w:type="dxa" w:w="27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Nombre de la Obligación</w:t>
            </w:r>
          </w:p>
        </w:tc>
        <w:tc>
          <w:tcPr>
            <w:tcW w:type="dxa" w:w="276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Componente CFH</w:t>
            </w:r>
          </w:p>
        </w:tc>
        <w:tc>
          <w:tcPr>
            <w:tcW w:type="dxa" w:w="15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Fase</w:t>
            </w:r>
          </w:p>
        </w:tc>
        <w:tc>
          <w:tcPr>
            <w:tcW w:type="dxa" w:w="18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Entregable Principal</w:t>
            </w:r>
          </w:p>
        </w:tc>
      </w:tr>
      <w:tr>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bCs/>
                <w:color w:val="1F3A6E"/>
                <w:sz w:val="18"/>
                <w:szCs w:val="18"/>
              </w:rPr>
              <w:t xml:space="preserve">O1</w:t>
            </w:r>
          </w:p>
        </w:tc>
        <w:tc>
          <w:tcPr>
            <w:tcW w:type="dxa" w:w="27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Metodología interdisciplinaria</w:t>
            </w:r>
          </w:p>
        </w:tc>
        <w:tc>
          <w:tcPr>
            <w:tcW w:type="dxa" w:w="27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Dimensiones CFH: DIS, IEI, ICM + marco Fricker-Fraser-Zehr-Habermas</w:t>
            </w:r>
          </w:p>
        </w:tc>
        <w:tc>
          <w:tcPr>
            <w:tcW w:type="dxa" w:w="15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Fase 1</w:t>
            </w:r>
          </w:p>
        </w:tc>
        <w:tc>
          <w:tcPr>
            <w:tcW w:type="dxa" w:w="18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Manual metodológico v1</w:t>
            </w:r>
          </w:p>
        </w:tc>
      </w:tr>
      <w:tr>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O2</w:t>
            </w:r>
          </w:p>
        </w:tc>
        <w:tc>
          <w:tcPr>
            <w:tcW w:type="dxa" w:w="27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Batería de indicadores y criterios</w:t>
            </w:r>
          </w:p>
        </w:tc>
        <w:tc>
          <w:tcPr>
            <w:tcW w:type="dxa" w:w="27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Índices DIS (y₁-y₄, y₁₀) + IEI (y₈, y₉) + ICM tri-canal</w:t>
            </w:r>
          </w:p>
        </w:tc>
        <w:tc>
          <w:tcPr>
            <w:tcW w:type="dxa" w:w="15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Fase 1</w:t>
            </w:r>
          </w:p>
        </w:tc>
        <w:tc>
          <w:tcPr>
            <w:tcW w:type="dxa" w:w="18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Batería de indicadores documentada</w:t>
            </w:r>
          </w:p>
        </w:tc>
      </w:tr>
      <w:tr>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bCs/>
                <w:color w:val="1F3A6E"/>
                <w:sz w:val="18"/>
                <w:szCs w:val="18"/>
              </w:rPr>
              <w:t xml:space="preserve">O3</w:t>
            </w:r>
          </w:p>
        </w:tc>
        <w:tc>
          <w:tcPr>
            <w:tcW w:type="dxa" w:w="27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Herramienta tecnológica IA</w:t>
            </w:r>
          </w:p>
        </w:tc>
        <w:tc>
          <w:tcPr>
            <w:tcW w:type="dxa" w:w="27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Pipeline CFH: CFH-BERT v3 + ConfliBERT-SP + RAG + Dashboard</w:t>
            </w:r>
          </w:p>
        </w:tc>
        <w:tc>
          <w:tcPr>
            <w:tcW w:type="dxa" w:w="15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Fase 2</w:t>
            </w:r>
          </w:p>
        </w:tc>
        <w:tc>
          <w:tcPr>
            <w:tcW w:type="dxa" w:w="18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Sistema RAG + Dashboard ICM v1</w:t>
            </w:r>
          </w:p>
        </w:tc>
      </w:tr>
      <w:tr>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O4</w:t>
            </w:r>
          </w:p>
        </w:tc>
        <w:tc>
          <w:tcPr>
            <w:tcW w:type="dxa" w:w="27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Validación y mejora continua</w:t>
            </w:r>
          </w:p>
        </w:tc>
        <w:tc>
          <w:tcPr>
            <w:tcW w:type="dxa" w:w="27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IAA κ&gt;0.80, auditoría intersectional, bootstrap, SEM completo</w:t>
            </w:r>
          </w:p>
        </w:tc>
        <w:tc>
          <w:tcPr>
            <w:tcW w:type="dxa" w:w="15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Fase 2–3</w:t>
            </w:r>
          </w:p>
        </w:tc>
        <w:tc>
          <w:tcPr>
            <w:tcW w:type="dxa" w:w="18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Reportes de calibración + Model Cards</w:t>
            </w:r>
          </w:p>
        </w:tc>
      </w:tr>
      <w:tr>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bCs/>
                <w:color w:val="1F3A6E"/>
                <w:sz w:val="18"/>
                <w:szCs w:val="18"/>
              </w:rPr>
              <w:t xml:space="preserve">O5</w:t>
            </w:r>
          </w:p>
        </w:tc>
        <w:tc>
          <w:tcPr>
            <w:tcW w:type="dxa" w:w="27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Participación y apropiación</w:t>
            </w:r>
          </w:p>
        </w:tc>
        <w:tc>
          <w:tcPr>
            <w:tcW w:type="dxa" w:w="27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Validación MAFAPO + sesiones con magistraturas + Toronto Declaration</w:t>
            </w:r>
          </w:p>
        </w:tc>
        <w:tc>
          <w:tcPr>
            <w:tcW w:type="dxa" w:w="15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Fase 3</w:t>
            </w:r>
          </w:p>
        </w:tc>
        <w:tc>
          <w:tcPr>
            <w:tcW w:type="dxa" w:w="18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Protocolo participativo + sesiones</w:t>
            </w:r>
          </w:p>
        </w:tc>
      </w:tr>
      <w:tr>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O6</w:t>
            </w:r>
          </w:p>
        </w:tc>
        <w:tc>
          <w:tcPr>
            <w:tcW w:type="dxa" w:w="27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Diagnóstico de datos e información</w:t>
            </w:r>
          </w:p>
        </w:tc>
        <w:tc>
          <w:tcPr>
            <w:tcW w:type="dxa" w:w="27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Auditoría corpus A+B+C: calidad, estructura, disponibilidad</w:t>
            </w:r>
          </w:p>
        </w:tc>
        <w:tc>
          <w:tcPr>
            <w:tcW w:type="dxa" w:w="15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Fase 0</w:t>
            </w:r>
          </w:p>
        </w:tc>
        <w:tc>
          <w:tcPr>
            <w:tcW w:type="dxa" w:w="18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Informe de diagnóstico de datos</w:t>
            </w:r>
          </w:p>
        </w:tc>
      </w:tr>
      <w:tr>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bCs/>
                <w:color w:val="1F3A6E"/>
                <w:sz w:val="18"/>
                <w:szCs w:val="18"/>
              </w:rPr>
              <w:t xml:space="preserve">O7</w:t>
            </w:r>
          </w:p>
        </w:tc>
        <w:tc>
          <w:tcPr>
            <w:tcW w:type="dxa" w:w="27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Automatización tecnológica</w:t>
            </w:r>
          </w:p>
        </w:tc>
        <w:tc>
          <w:tcPr>
            <w:tcW w:type="dxa" w:w="27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Pipeline automatizado: Whisper + pyannote + OpenSMILE + MediaPipe</w:t>
            </w:r>
          </w:p>
        </w:tc>
        <w:tc>
          <w:tcPr>
            <w:tcW w:type="dxa" w:w="15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Fase 2</w:t>
            </w:r>
          </w:p>
        </w:tc>
        <w:tc>
          <w:tcPr>
            <w:tcW w:type="dxa" w:w="18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Pipeline automatizado documentado</w:t>
            </w:r>
          </w:p>
        </w:tc>
      </w:tr>
      <w:tr>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O8</w:t>
            </w:r>
          </w:p>
        </w:tc>
        <w:tc>
          <w:tcPr>
            <w:tcW w:type="dxa" w:w="27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Validación de automatización (pilotos)</w:t>
            </w:r>
          </w:p>
        </w:tc>
        <w:tc>
          <w:tcPr>
            <w:tcW w:type="dxa" w:w="27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Planes piloto por subcaso: Dabeiba, Huila, Catatumbo</w:t>
            </w:r>
          </w:p>
        </w:tc>
        <w:tc>
          <w:tcPr>
            <w:tcW w:type="dxa" w:w="15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Fase 3</w:t>
            </w:r>
          </w:p>
        </w:tc>
        <w:tc>
          <w:tcPr>
            <w:tcW w:type="dxa" w:w="18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Reportes piloto + ajuste de modelos</w:t>
            </w:r>
          </w:p>
        </w:tc>
      </w:tr>
    </w:tbl>
    <w:p>
      <w:pPr>
        <w:spacing w:after="120" w:before="0"/>
      </w:pPr>
      <w:r>
        <w:t xml:space="preserve"/>
      </w:r>
    </w:p>
    <w:p>
      <w:pPr>
        <w:pStyle w:val="Heading1"/>
        <w:spacing w:after="160" w:before="400"/>
      </w:pPr>
      <w:r>
        <w:rPr>
          <w:rFonts w:ascii="Arial" w:cs="Arial" w:eastAsia="Arial" w:hAnsi="Arial"/>
          <w:b/>
          <w:bCs/>
          <w:color w:val="1F3A6E"/>
          <w:sz w:val="28"/>
          <w:szCs w:val="28"/>
        </w:rPr>
        <w:t xml:space="preserve">3. Fase 0 — Diagnóstico, Gobernanza y Prerequisitos (Semanas 1–4)</w:t>
      </w:r>
    </w:p>
    <w:p>
      <w:pPr>
        <w:pBdr>
          <w:bottom w:val="single" w:color="0D7377" w:sz="6" w:space="1"/>
        </w:pBdr>
        <w:spacing w:after="120" w:before="120"/>
      </w:pPr>
      <w:r>
        <w:t xml:space="preserve"/>
      </w:r>
    </w:p>
    <w:p>
      <w:pPr>
        <w:spacing w:after="100" w:before="60"/>
      </w:pPr>
      <w:r>
        <w:rPr>
          <w:rFonts w:ascii="Arial" w:cs="Arial" w:eastAsia="Arial" w:hAnsi="Arial"/>
          <w:color w:val="333333"/>
          <w:sz w:val="20"/>
          <w:szCs w:val="20"/>
        </w:rPr>
        <w:t xml:space="preserve">La Fase 0 es condición para todo el trabajo subsiguiente. Cubre la Obligación 6 íntegramente y establece las bases de gobernanza que exige el marco normativo colombiano (Ley 1581/2012, Directiva 007/2025) y los estándares internacionales (EU AI Act, NIST AI RMF 1.0) adoptados por el framework CFH.</w:t>
      </w:r>
    </w:p>
    <w:p>
      <w:pPr>
        <w:spacing w:after="60" w:before="0"/>
      </w:pPr>
      <w:r>
        <w:t xml:space="preserve"/>
      </w:r>
    </w:p>
    <w:p>
      <w:pPr>
        <w:pStyle w:val="Heading2"/>
        <w:spacing w:after="120" w:before="280"/>
      </w:pPr>
      <w:r>
        <w:rPr>
          <w:rFonts w:ascii="Arial" w:cs="Arial" w:eastAsia="Arial" w:hAnsi="Arial"/>
          <w:b/>
          <w:bCs/>
          <w:color w:val="0D7377"/>
          <w:sz w:val="24"/>
          <w:szCs w:val="24"/>
        </w:rPr>
        <w:t xml:space="preserve">3.1 Actividades de la Fase 0</w:t>
      </w:r>
    </w:p>
    <w:p>
      <w:pPr>
        <w:pStyle w:val="ListParagraph"/>
        <w:numPr>
          <w:ilvl w:val="0"/>
          <w:numId w:val="2"/>
        </w:numPr>
        <w:spacing w:after="60" w:before="40"/>
      </w:pPr>
      <w:r>
        <w:rPr>
          <w:rFonts w:ascii="Arial" w:cs="Arial" w:eastAsia="Arial" w:hAnsi="Arial"/>
          <w:b/>
          <w:bCs/>
          <w:color w:val="1F3A6E"/>
          <w:sz w:val="20"/>
          <w:szCs w:val="20"/>
        </w:rPr>
        <w:t xml:space="preserve">Ob.6 → </w:t>
      </w:r>
      <w:r>
        <w:rPr>
          <w:rFonts w:ascii="Arial" w:cs="Arial" w:eastAsia="Arial" w:hAnsi="Arial"/>
          <w:color w:val="333333"/>
          <w:sz w:val="20"/>
          <w:szCs w:val="20"/>
        </w:rPr>
        <w:t xml:space="preserve">Auditoría del corpus institucional disponible (providencias escritas, transcripciones, videos): inventario de calidad, estructura, consistencia y disponibilidad. Identificación de necesidades de depuración, normalización e integración.</w:t>
      </w:r>
    </w:p>
    <w:p>
      <w:pPr>
        <w:pStyle w:val="ListParagraph"/>
        <w:numPr>
          <w:ilvl w:val="0"/>
          <w:numId w:val="2"/>
        </w:numPr>
        <w:spacing w:after="60" w:before="40"/>
      </w:pPr>
      <w:r>
        <w:rPr>
          <w:rFonts w:ascii="Arial" w:cs="Arial" w:eastAsia="Arial" w:hAnsi="Arial"/>
          <w:b/>
          <w:bCs/>
          <w:color w:val="1F3A6E"/>
          <w:sz w:val="20"/>
          <w:szCs w:val="20"/>
        </w:rPr>
        <w:t xml:space="preserve">Gobernanza → </w:t>
      </w:r>
      <w:r>
        <w:rPr>
          <w:rFonts w:ascii="Arial" w:cs="Arial" w:eastAsia="Arial" w:hAnsi="Arial"/>
          <w:color w:val="333333"/>
          <w:sz w:val="20"/>
          <w:szCs w:val="20"/>
        </w:rPr>
        <w:t xml:space="preserve">Firma del Acuerdo de Confidencialidad (NDA) y definición del mecanismo contractual con la Secretaría General.</w:t>
      </w:r>
    </w:p>
    <w:p>
      <w:pPr>
        <w:pStyle w:val="ListParagraph"/>
        <w:numPr>
          <w:ilvl w:val="0"/>
          <w:numId w:val="2"/>
        </w:numPr>
        <w:spacing w:after="60" w:before="40"/>
      </w:pPr>
      <w:r>
        <w:rPr>
          <w:rFonts w:ascii="Arial" w:cs="Arial" w:eastAsia="Arial" w:hAnsi="Arial"/>
          <w:b/>
          <w:bCs/>
          <w:color w:val="1F3A6E"/>
          <w:sz w:val="20"/>
          <w:szCs w:val="20"/>
        </w:rPr>
        <w:t xml:space="preserve">Ley 1581 → </w:t>
      </w:r>
      <w:r>
        <w:rPr>
          <w:rFonts w:ascii="Arial" w:cs="Arial" w:eastAsia="Arial" w:hAnsi="Arial"/>
          <w:color w:val="333333"/>
          <w:sz w:val="20"/>
          <w:szCs w:val="20"/>
        </w:rPr>
        <w:t xml:space="preserve">Evaluación de impacto de protección de datos (DPIA formal, 2 páginas) conforme a Ley 1581/2012 y Decreto 1377.</w:t>
      </w:r>
    </w:p>
    <w:p>
      <w:pPr>
        <w:pStyle w:val="ListParagraph"/>
        <w:numPr>
          <w:ilvl w:val="0"/>
          <w:numId w:val="2"/>
        </w:numPr>
        <w:spacing w:after="60" w:before="40"/>
      </w:pPr>
      <w:r>
        <w:rPr>
          <w:rFonts w:ascii="Arial" w:cs="Arial" w:eastAsia="Arial" w:hAnsi="Arial"/>
          <w:b/>
          <w:bCs/>
          <w:color w:val="1F3A6E"/>
          <w:sz w:val="20"/>
          <w:szCs w:val="20"/>
        </w:rPr>
        <w:t xml:space="preserve">Ética → </w:t>
      </w:r>
      <w:r>
        <w:rPr>
          <w:rFonts w:ascii="Arial" w:cs="Arial" w:eastAsia="Arial" w:hAnsi="Arial"/>
          <w:color w:val="333333"/>
          <w:sz w:val="20"/>
          <w:szCs w:val="20"/>
        </w:rPr>
        <w:t xml:space="preserve">Aval del Comité de Ética de la Universidad Externado para procesamiento biométrico del corpus oral.</w:t>
      </w:r>
    </w:p>
    <w:p>
      <w:pPr>
        <w:pStyle w:val="ListParagraph"/>
        <w:numPr>
          <w:ilvl w:val="0"/>
          <w:numId w:val="2"/>
        </w:numPr>
        <w:spacing w:after="60" w:before="40"/>
      </w:pPr>
      <w:r>
        <w:rPr>
          <w:rFonts w:ascii="Arial" w:cs="Arial" w:eastAsia="Arial" w:hAnsi="Arial"/>
          <w:b/>
          <w:bCs/>
          <w:color w:val="1F3A6E"/>
          <w:sz w:val="20"/>
          <w:szCs w:val="20"/>
        </w:rPr>
        <w:t xml:space="preserve">Equidad → </w:t>
      </w:r>
      <w:r>
        <w:rPr>
          <w:rFonts w:ascii="Arial" w:cs="Arial" w:eastAsia="Arial" w:hAnsi="Arial"/>
          <w:color w:val="333333"/>
          <w:sz w:val="20"/>
          <w:szCs w:val="20"/>
        </w:rPr>
        <w:t xml:space="preserve">Auditoría intersectional del módulo facial (MediaPipe): protocolo Gender Shades sobre muestra mestiza/afrocolombiana del corpus.</w:t>
      </w:r>
    </w:p>
    <w:p>
      <w:pPr>
        <w:pStyle w:val="ListParagraph"/>
        <w:numPr>
          <w:ilvl w:val="0"/>
          <w:numId w:val="2"/>
        </w:numPr>
        <w:spacing w:after="60" w:before="40"/>
      </w:pPr>
      <w:r>
        <w:rPr>
          <w:rFonts w:ascii="Arial" w:cs="Arial" w:eastAsia="Arial" w:hAnsi="Arial"/>
          <w:b/>
          <w:bCs/>
          <w:color w:val="1F3A6E"/>
          <w:sz w:val="20"/>
          <w:szCs w:val="20"/>
        </w:rPr>
        <w:t xml:space="preserve">Transparencia → </w:t>
      </w:r>
      <w:r>
        <w:rPr>
          <w:rFonts w:ascii="Arial" w:cs="Arial" w:eastAsia="Arial" w:hAnsi="Arial"/>
          <w:color w:val="333333"/>
          <w:sz w:val="20"/>
          <w:szCs w:val="20"/>
        </w:rPr>
        <w:t xml:space="preserve">Publicación del Model Card de CFH-BERT v2 en repositorio académico (limitaciones, sesgos, métricas de equidad).</w:t>
      </w:r>
    </w:p>
    <w:p>
      <w:pPr>
        <w:pStyle w:val="ListParagraph"/>
        <w:numPr>
          <w:ilvl w:val="0"/>
          <w:numId w:val="2"/>
        </w:numPr>
        <w:spacing w:after="60" w:before="40"/>
      </w:pPr>
      <w:r>
        <w:rPr>
          <w:rFonts w:ascii="Arial" w:cs="Arial" w:eastAsia="Arial" w:hAnsi="Arial"/>
          <w:b/>
          <w:bCs/>
          <w:color w:val="1F3A6E"/>
          <w:sz w:val="20"/>
          <w:szCs w:val="20"/>
        </w:rPr>
        <w:t xml:space="preserve">Institucional → </w:t>
      </w:r>
      <w:r>
        <w:rPr>
          <w:rFonts w:ascii="Arial" w:cs="Arial" w:eastAsia="Arial" w:hAnsi="Arial"/>
          <w:color w:val="333333"/>
          <w:sz w:val="20"/>
          <w:szCs w:val="20"/>
        </w:rPr>
        <w:t xml:space="preserve">Kick-off técnico con el punto de contacto de la JEP: revisión de corpus disponible, prioridades del equipo de monitoreo y flujos de trabajo existentes.</w:t>
      </w:r>
    </w:p>
    <w:p>
      <w:pPr>
        <w:spacing w:after="60" w:before="0"/>
      </w:pPr>
      <w:r>
        <w:t xml:space="preserve"/>
      </w:r>
    </w:p>
    <w:p>
      <w:pPr>
        <w:pStyle w:val="Heading2"/>
        <w:spacing w:after="120" w:before="280"/>
      </w:pPr>
      <w:r>
        <w:rPr>
          <w:rFonts w:ascii="Arial" w:cs="Arial" w:eastAsia="Arial" w:hAnsi="Arial"/>
          <w:b/>
          <w:bCs/>
          <w:color w:val="0D7377"/>
          <w:sz w:val="24"/>
          <w:szCs w:val="24"/>
        </w:rPr>
        <w:t xml:space="preserve">3.2 Entregables de la Fase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Entregable</w:t>
            </w:r>
          </w:p>
        </w:tc>
        <w:tc>
          <w:tcPr>
            <w:tcW w:type="dxa" w:w="40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Descripción</w:t>
            </w:r>
          </w:p>
        </w:tc>
        <w:tc>
          <w:tcPr>
            <w:tcW w:type="dxa" w:w="236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Plazo</w:t>
            </w:r>
          </w:p>
        </w:tc>
      </w:tr>
      <w:tr>
        <w:tc>
          <w:tcPr>
            <w:tcW w:type="dxa" w:w="30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Informe de diagnóstico de datos</w:t>
            </w:r>
          </w:p>
        </w:tc>
        <w:tc>
          <w:tcPr>
            <w:tcW w:type="dxa" w:w="40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Inventario de calidad, estructura y disponibilidad del corpus JEP. Brechas identificadas y plan de depuración.</w:t>
            </w:r>
          </w:p>
        </w:tc>
        <w:tc>
          <w:tcPr>
            <w:tcW w:type="dxa" w:w="23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Semana 3</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DPIA formal</w:t>
            </w:r>
          </w:p>
        </w:tc>
        <w:tc>
          <w:tcPr>
            <w:tcW w:type="dxa" w:w="40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Evaluación de impacto en protección de datos — Ley 1581 + Decreto 1377.</w:t>
            </w:r>
          </w:p>
        </w:tc>
        <w:tc>
          <w:tcPr>
            <w:tcW w:type="dxa" w:w="23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Semana 2</w:t>
            </w:r>
          </w:p>
        </w:tc>
      </w:tr>
      <w:tr>
        <w:tc>
          <w:tcPr>
            <w:tcW w:type="dxa" w:w="30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Aval ética institucional</w:t>
            </w:r>
          </w:p>
        </w:tc>
        <w:tc>
          <w:tcPr>
            <w:tcW w:type="dxa" w:w="40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Aval del Comité de Ética Externado para corpus biométrico.</w:t>
            </w:r>
          </w:p>
        </w:tc>
        <w:tc>
          <w:tcPr>
            <w:tcW w:type="dxa" w:w="23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Semana 4</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Informe auditoría intersectional</w:t>
            </w:r>
          </w:p>
        </w:tc>
        <w:tc>
          <w:tcPr>
            <w:tcW w:type="dxa" w:w="40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Resultados del protocolo Gender Shades sobre módulo facial.</w:t>
            </w:r>
          </w:p>
        </w:tc>
        <w:tc>
          <w:tcPr>
            <w:tcW w:type="dxa" w:w="23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Semana 4</w:t>
            </w:r>
          </w:p>
        </w:tc>
      </w:tr>
      <w:tr>
        <w:tc>
          <w:tcPr>
            <w:tcW w:type="dxa" w:w="30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Model Card CFH-BERT v2</w:t>
            </w:r>
          </w:p>
        </w:tc>
        <w:tc>
          <w:tcPr>
            <w:tcW w:type="dxa" w:w="40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Publicación en GitHub: limitaciones, sesgos, métricas de equidad.</w:t>
            </w:r>
          </w:p>
        </w:tc>
        <w:tc>
          <w:tcPr>
            <w:tcW w:type="dxa" w:w="23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Semana 3</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Acta kick-off técnico</w:t>
            </w:r>
          </w:p>
        </w:tc>
        <w:tc>
          <w:tcPr>
            <w:tcW w:type="dxa" w:w="40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Minuta del encuentro inicial con la JEP: corpus disponible, prioridades, flujos de trabajo.</w:t>
            </w:r>
          </w:p>
        </w:tc>
        <w:tc>
          <w:tcPr>
            <w:tcW w:type="dxa" w:w="23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Semana 2</w:t>
            </w:r>
          </w:p>
        </w:tc>
      </w:tr>
    </w:tbl>
    <w:p>
      <w:pPr>
        <w:spacing w:after="120" w:before="0"/>
      </w:pPr>
      <w:r>
        <w:t xml:space="preserve"/>
      </w:r>
    </w:p>
    <w:p>
      <w:pPr>
        <w:pStyle w:val="Heading1"/>
        <w:spacing w:after="160" w:before="400"/>
      </w:pPr>
      <w:r>
        <w:rPr>
          <w:rFonts w:ascii="Arial" w:cs="Arial" w:eastAsia="Arial" w:hAnsi="Arial"/>
          <w:b/>
          <w:bCs/>
          <w:color w:val="1F3A6E"/>
          <w:sz w:val="28"/>
          <w:szCs w:val="28"/>
        </w:rPr>
        <w:t xml:space="preserve">4. Fase 1 — Metodología e Indicadores (Meses 2–4)</w:t>
      </w:r>
    </w:p>
    <w:p>
      <w:pPr>
        <w:pBdr>
          <w:bottom w:val="single" w:color="0D7377" w:sz="6" w:space="1"/>
        </w:pBdr>
        <w:spacing w:after="120" w:before="120"/>
      </w:pPr>
      <w:r>
        <w:t xml:space="preserve"/>
      </w:r>
    </w:p>
    <w:p>
      <w:pPr>
        <w:spacing w:after="100" w:before="60"/>
      </w:pPr>
      <w:r>
        <w:rPr>
          <w:rFonts w:ascii="Arial" w:cs="Arial" w:eastAsia="Arial" w:hAnsi="Arial"/>
          <w:color w:val="333333"/>
          <w:sz w:val="20"/>
          <w:szCs w:val="20"/>
        </w:rPr>
        <w:t xml:space="preserve">La Fase 1 ejecuta las Obligaciones 1 y 2. Toma como punto de partida el framework CFH ya construido y lo adapta y documenta específicamente para su uso en el análisis de providencias judiciales de la JEP — no solo audiencias, sino también autos, resoluciones y sentencias escritas.</w:t>
      </w:r>
    </w:p>
    <w:p>
      <w:pPr>
        <w:spacing w:after="60" w:before="0"/>
      </w:pPr>
      <w:r>
        <w:t xml:space="preserve"/>
      </w:r>
    </w:p>
    <w:p>
      <w:pPr>
        <w:pStyle w:val="Heading2"/>
        <w:spacing w:after="120" w:before="280"/>
      </w:pPr>
      <w:r>
        <w:rPr>
          <w:rFonts w:ascii="Arial" w:cs="Arial" w:eastAsia="Arial" w:hAnsi="Arial"/>
          <w:b/>
          <w:bCs/>
          <w:color w:val="0D7377"/>
          <w:sz w:val="24"/>
          <w:szCs w:val="24"/>
        </w:rPr>
        <w:t xml:space="preserve">4.1 Diseño de la Metodología Interdisciplinaria (Obligación 1)</w:t>
      </w:r>
    </w:p>
    <w:p>
      <w:pPr>
        <w:spacing w:after="100" w:before="60"/>
      </w:pPr>
      <w:r>
        <w:rPr>
          <w:rFonts w:ascii="Arial" w:cs="Arial" w:eastAsia="Arial" w:hAnsi="Arial"/>
          <w:color w:val="333333"/>
          <w:sz w:val="20"/>
          <w:szCs w:val="20"/>
        </w:rPr>
        <w:t xml:space="preserve">La metodología articula cuatro dimensiones analíticas, cada una anclada tanto en el marco normativo de la JEP como en el fundamento teórico del framework CFH:</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Dimensión</w:t>
            </w:r>
          </w:p>
        </w:tc>
        <w:tc>
          <w:tcPr>
            <w:tcW w:type="dxa" w:w="24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Criterio de análisis</w:t>
            </w:r>
          </w:p>
        </w:tc>
        <w:tc>
          <w:tcPr>
            <w:tcW w:type="dxa" w:w="228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Base normativa JEP</w:t>
            </w:r>
          </w:p>
        </w:tc>
        <w:tc>
          <w:tcPr>
            <w:tcW w:type="dxa" w:w="228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Referente teórico CFH</w:t>
            </w:r>
          </w:p>
        </w:tc>
      </w:tr>
      <w:tr>
        <w:tc>
          <w:tcPr>
            <w:tcW w:type="dxa" w:w="24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Lenguaje claro y accesible</w:t>
            </w:r>
          </w:p>
        </w:tc>
        <w:tc>
          <w:tcPr>
            <w:tcW w:type="dxa" w:w="24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Ausencia de eufemismos bélico-institucionales; claridad comunicativa para no especialistas</w:t>
            </w:r>
          </w:p>
        </w:tc>
        <w:tc>
          <w:tcPr>
            <w:tcW w:type="dxa" w:w="228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Art. 5 AL 01/2017; criterios SRVR</w:t>
            </w:r>
          </w:p>
        </w:tc>
        <w:tc>
          <w:tcPr>
            <w:tcW w:type="dxa" w:w="228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Indicador EBI (y₁); distancia léxico-civil</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Centralidad de las víctimas</w:t>
            </w:r>
          </w:p>
        </w:tc>
        <w:tc>
          <w:tcPr>
            <w:tcW w:type="dxa" w:w="24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Agentividad de las víctimas; reconocimiento de su identidad civil; léxico de reparación</w:t>
            </w:r>
          </w:p>
        </w:tc>
        <w:tc>
          <w:tcPr>
            <w:tcW w:type="dxa" w:w="228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Resolución Conclusiones 01/2022</w:t>
            </w:r>
          </w:p>
        </w:tc>
        <w:tc>
          <w:tcPr>
            <w:tcW w:type="dxa" w:w="228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DIS Score: SA (y₂), NV (y₄), REP (y₁₀)</w:t>
            </w:r>
          </w:p>
        </w:tc>
      </w:tr>
      <w:tr>
        <w:tc>
          <w:tcPr>
            <w:tcW w:type="dxa" w:w="24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Sensibilidad frente al daño</w:t>
            </w:r>
          </w:p>
        </w:tc>
        <w:tc>
          <w:tcPr>
            <w:tcW w:type="dxa" w:w="24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Expresión concreta de impactos en víctimas, comunidades y familias</w:t>
            </w:r>
          </w:p>
        </w:tc>
        <w:tc>
          <w:tcPr>
            <w:tcW w:type="dxa" w:w="228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Criterios satisfacción SRVR</w:t>
            </w:r>
          </w:p>
        </w:tc>
        <w:tc>
          <w:tcPr>
            <w:tcW w:type="dxa" w:w="228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IEI: distancia MAFAPO (y₈), distancia CIDH (y₉)</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Enfoque restaurativo</w:t>
            </w:r>
          </w:p>
        </w:tc>
        <w:tc>
          <w:tcPr>
            <w:tcW w:type="dxa" w:w="24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Convergencia con léxico y estándares de organizaciones de víctimas reconocidas por la JEP</w:t>
            </w:r>
          </w:p>
        </w:tc>
        <w:tc>
          <w:tcPr>
            <w:tcW w:type="dxa" w:w="228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Principios Joinet-Orentlicher; CIDH</w:t>
            </w:r>
          </w:p>
        </w:tc>
        <w:tc>
          <w:tcPr>
            <w:tcW w:type="dxa" w:w="228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IEI completo + polo normativo MAFAPO/CIDH</w:t>
            </w:r>
          </w:p>
        </w:tc>
      </w:tr>
    </w:tbl>
    <w:p>
      <w:pPr>
        <w:spacing w:after="60" w:before="0"/>
      </w:pPr>
      <w:r>
        <w:t xml:space="preserve"/>
      </w:r>
    </w:p>
    <w:p>
      <w:pPr>
        <w:spacing w:after="100" w:before="60"/>
      </w:pPr>
      <w:r>
        <w:rPr>
          <w:rFonts w:ascii="Arial" w:cs="Arial" w:eastAsia="Arial" w:hAnsi="Arial"/>
          <w:color w:val="333333"/>
          <w:sz w:val="20"/>
          <w:szCs w:val="20"/>
        </w:rPr>
        <w:t xml:space="preserve">El manual metodológico documentará: definición operacional de cada dimensión, criterios de codificación, guía de interpretación de resultados para usuarios sin expertise en NLP, ejemplos anotados con casos del Macrocaso 003, y protocolo de actualización ante nuevas providencias.</w:t>
      </w:r>
    </w:p>
    <w:p>
      <w:pPr>
        <w:spacing w:after="60" w:before="0"/>
      </w:pPr>
      <w:r>
        <w:t xml:space="preserve"/>
      </w:r>
    </w:p>
    <w:p>
      <w:pPr>
        <w:pStyle w:val="Heading2"/>
        <w:spacing w:after="120" w:before="280"/>
      </w:pPr>
      <w:r>
        <w:rPr>
          <w:rFonts w:ascii="Arial" w:cs="Arial" w:eastAsia="Arial" w:hAnsi="Arial"/>
          <w:b/>
          <w:bCs/>
          <w:color w:val="0D7377"/>
          <w:sz w:val="24"/>
          <w:szCs w:val="24"/>
        </w:rPr>
        <w:t xml:space="preserve">4.2 Batería de Indicadores (Obligación 2)</w:t>
      </w:r>
    </w:p>
    <w:p>
      <w:pPr>
        <w:spacing w:after="100" w:before="60"/>
      </w:pPr>
      <w:r>
        <w:rPr>
          <w:rFonts w:ascii="Arial" w:cs="Arial" w:eastAsia="Arial" w:hAnsi="Arial"/>
          <w:color w:val="333333"/>
          <w:sz w:val="20"/>
          <w:szCs w:val="20"/>
        </w:rPr>
        <w:t xml:space="preserve">La batería CFH cubre cuatro secciones estructurales de las providencias judiciales. Cada indicador es cuantificable, documentado y acompañado de umbrales de interpretación: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160"/>
        <w:gridCol w:w="2100"/>
        <w:gridCol w:w="1800"/>
      </w:tblGrid>
      <w:tr>
        <w:trPr>
          <w:tblHeader/>
        </w:trPr>
        <w:tc>
          <w:tcPr>
            <w:tcW w:type="dxa" w:w="18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Indicador</w:t>
            </w:r>
          </w:p>
        </w:tc>
        <w:tc>
          <w:tcPr>
            <w:tcW w:type="dxa" w:w="15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Código CFH</w:t>
            </w:r>
          </w:p>
        </w:tc>
        <w:tc>
          <w:tcPr>
            <w:tcW w:type="dxa" w:w="216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Qué mide</w:t>
            </w:r>
          </w:p>
        </w:tc>
        <w:tc>
          <w:tcPr>
            <w:tcW w:type="dxa" w:w="21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Sección de la providencia</w:t>
            </w:r>
          </w:p>
        </w:tc>
        <w:tc>
          <w:tcPr>
            <w:tcW w:type="dxa" w:w="18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Herramienta</w:t>
            </w:r>
          </w:p>
        </w:tc>
      </w:tr>
      <w:tr>
        <w:tc>
          <w:tcPr>
            <w:tcW w:type="dxa" w:w="18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Eufemismo Bélico-Inst.</w:t>
            </w:r>
          </w:p>
        </w:tc>
        <w:tc>
          <w:tcPr>
            <w:tcW w:type="dxa" w:w="15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y₁ — EBI</w:t>
            </w:r>
          </w:p>
        </w:tc>
        <w:tc>
          <w:tcPr>
            <w:tcW w:type="dxa" w:w="21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Vocabulario militar que invisibiliza el homicidio</w:t>
            </w:r>
          </w:p>
        </w:tc>
        <w:tc>
          <w:tcPr>
            <w:tcW w:type="dxa" w:w="21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Hechos / Antecedentes</w:t>
            </w:r>
          </w:p>
        </w:tc>
        <w:tc>
          <w:tcPr>
            <w:tcW w:type="dxa" w:w="18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CFH-BERT v3</w:t>
            </w:r>
          </w:p>
        </w:tc>
      </w:tr>
      <w:tr>
        <w:tc>
          <w:tcPr>
            <w:tcW w:type="dxa" w:w="18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Supresión de Agentividad</w:t>
            </w:r>
          </w:p>
        </w:tc>
        <w:tc>
          <w:tcPr>
            <w:tcW w:type="dxa" w:w="15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y₂ — SA</w:t>
            </w:r>
          </w:p>
        </w:tc>
        <w:tc>
          <w:tcPr>
            <w:tcW w:type="dxa" w:w="21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Construcciones que ocultan al responsable</w:t>
            </w:r>
          </w:p>
        </w:tc>
        <w:tc>
          <w:tcPr>
            <w:tcW w:type="dxa" w:w="21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Reconocimiento / Fallo</w:t>
            </w:r>
          </w:p>
        </w:tc>
        <w:tc>
          <w:tcPr>
            <w:tcW w:type="dxa" w:w="18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spaCy + dep. parsing</w:t>
            </w:r>
          </w:p>
        </w:tc>
      </w:tr>
      <w:tr>
        <w:tc>
          <w:tcPr>
            <w:tcW w:type="dxa" w:w="18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Distancia léxico-civil</w:t>
            </w:r>
          </w:p>
        </w:tc>
        <w:tc>
          <w:tcPr>
            <w:tcW w:type="dxa" w:w="15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y₃</w:t>
            </w:r>
          </w:p>
        </w:tc>
        <w:tc>
          <w:tcPr>
            <w:tcW w:type="dxa" w:w="21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Adopción del vocabulario de víctimas civiles</w:t>
            </w:r>
          </w:p>
        </w:tc>
        <w:tc>
          <w:tcPr>
            <w:tcW w:type="dxa" w:w="21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Todas las secciones</w:t>
            </w:r>
          </w:p>
        </w:tc>
        <w:tc>
          <w:tcPr>
            <w:tcW w:type="dxa" w:w="18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CFH-BERT v3</w:t>
            </w:r>
          </w:p>
        </w:tc>
      </w:tr>
      <w:tr>
        <w:tc>
          <w:tcPr>
            <w:tcW w:type="dxa" w:w="18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Negación de Victimización</w:t>
            </w:r>
          </w:p>
        </w:tc>
        <w:tc>
          <w:tcPr>
            <w:tcW w:type="dxa" w:w="15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y₄ — NV</w:t>
            </w:r>
          </w:p>
        </w:tc>
        <w:tc>
          <w:tcPr>
            <w:tcW w:type="dxa" w:w="21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Atribución de identidad combatiente a civiles</w:t>
            </w:r>
          </w:p>
        </w:tc>
        <w:tc>
          <w:tcPr>
            <w:tcW w:type="dxa" w:w="21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Hechos / Motivación</w:t>
            </w:r>
          </w:p>
        </w:tc>
        <w:tc>
          <w:tcPr>
            <w:tcW w:type="dxa" w:w="18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CFH-BERT v3</w:t>
            </w:r>
          </w:p>
        </w:tc>
      </w:tr>
      <w:tr>
        <w:tc>
          <w:tcPr>
            <w:tcW w:type="dxa" w:w="18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Lenguaje Reparatorio</w:t>
            </w:r>
          </w:p>
        </w:tc>
        <w:tc>
          <w:tcPr>
            <w:tcW w:type="dxa" w:w="15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y₁₀ — REP</w:t>
            </w:r>
          </w:p>
        </w:tc>
        <w:tc>
          <w:tcPr>
            <w:tcW w:type="dxa" w:w="21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Lenguaje que devuelve dignidad y nombra responsabilidad</w:t>
            </w:r>
          </w:p>
        </w:tc>
        <w:tc>
          <w:tcPr>
            <w:tcW w:type="dxa" w:w="21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Reconocimiento / Resolutivo</w:t>
            </w:r>
          </w:p>
        </w:tc>
        <w:tc>
          <w:tcPr>
            <w:tcW w:type="dxa" w:w="18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CFH-BERT v3</w:t>
            </w:r>
          </w:p>
        </w:tc>
      </w:tr>
      <w:tr>
        <w:tc>
          <w:tcPr>
            <w:tcW w:type="dxa" w:w="18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Distancia semántica MAFAPO</w:t>
            </w:r>
          </w:p>
        </w:tc>
        <w:tc>
          <w:tcPr>
            <w:tcW w:type="dxa" w:w="15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y₈</w:t>
            </w:r>
          </w:p>
        </w:tc>
        <w:tc>
          <w:tcPr>
            <w:tcW w:type="dxa" w:w="21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Brecha respecto al léxico de organizaciones de víctimas</w:t>
            </w:r>
          </w:p>
        </w:tc>
        <w:tc>
          <w:tcPr>
            <w:tcW w:type="dxa" w:w="21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Motivación / Reconocimiento</w:t>
            </w:r>
          </w:p>
        </w:tc>
        <w:tc>
          <w:tcPr>
            <w:tcW w:type="dxa" w:w="18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ConfliBERT-Spanish</w:t>
            </w:r>
          </w:p>
        </w:tc>
      </w:tr>
      <w:tr>
        <w:tc>
          <w:tcPr>
            <w:tcW w:type="dxa" w:w="18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Distancia semántica CIDH</w:t>
            </w:r>
          </w:p>
        </w:tc>
        <w:tc>
          <w:tcPr>
            <w:tcW w:type="dxa" w:w="15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y₉</w:t>
            </w:r>
          </w:p>
        </w:tc>
        <w:tc>
          <w:tcPr>
            <w:tcW w:type="dxa" w:w="21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Brecha respecto al estándar DDHH internacional</w:t>
            </w:r>
          </w:p>
        </w:tc>
        <w:tc>
          <w:tcPr>
            <w:tcW w:type="dxa" w:w="21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Consideraciones jurídicas</w:t>
            </w:r>
          </w:p>
        </w:tc>
        <w:tc>
          <w:tcPr>
            <w:tcW w:type="dxa" w:w="18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ConfliBERT-Spanish</w:t>
            </w:r>
          </w:p>
        </w:tc>
      </w:tr>
      <w:tr>
        <w:tc>
          <w:tcPr>
            <w:tcW w:type="dxa" w:w="18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DIS Score (síntesis)</w:t>
            </w:r>
          </w:p>
        </w:tc>
        <w:tc>
          <w:tcPr>
            <w:tcW w:type="dxa" w:w="15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η₁</w:t>
            </w:r>
          </w:p>
        </w:tc>
        <w:tc>
          <w:tcPr>
            <w:tcW w:type="dxa" w:w="21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Injusticia discursiva global (SA·0.35 + NV·0.35 + (1−REP)·0.30)</w:t>
            </w:r>
          </w:p>
        </w:tc>
        <w:tc>
          <w:tcPr>
            <w:tcW w:type="dxa" w:w="21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Providencia completa</w:t>
            </w:r>
          </w:p>
        </w:tc>
        <w:tc>
          <w:tcPr>
            <w:tcW w:type="dxa" w:w="18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Modelo SEM</w:t>
            </w:r>
          </w:p>
        </w:tc>
      </w:tr>
      <w:tr>
        <w:tc>
          <w:tcPr>
            <w:tcW w:type="dxa" w:w="18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IEI (síntesis)</w:t>
            </w:r>
          </w:p>
        </w:tc>
        <w:tc>
          <w:tcPr>
            <w:tcW w:type="dxa" w:w="15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η₂</w:t>
            </w:r>
          </w:p>
        </w:tc>
        <w:tc>
          <w:tcPr>
            <w:tcW w:type="dxa" w:w="21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Injusticia epistémica: brecha hermenéutica con léxico víctimas</w:t>
            </w:r>
          </w:p>
        </w:tc>
        <w:tc>
          <w:tcPr>
            <w:tcW w:type="dxa" w:w="21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Providencia completa</w:t>
            </w:r>
          </w:p>
        </w:tc>
        <w:tc>
          <w:tcPr>
            <w:tcW w:type="dxa" w:w="18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Modelo SEM</w:t>
            </w:r>
          </w:p>
        </w:tc>
      </w:tr>
    </w:tbl>
    <w:p>
      <w:pPr>
        <w:spacing w:after="60" w:before="0"/>
      </w:pPr>
      <w:r>
        <w:t xml:space="preserve"/>
      </w:r>
    </w:p>
    <w:p>
      <w:pPr>
        <w:pStyle w:val="Heading2"/>
        <w:spacing w:after="120" w:before="280"/>
      </w:pPr>
      <w:r>
        <w:rPr>
          <w:rFonts w:ascii="Arial" w:cs="Arial" w:eastAsia="Arial" w:hAnsi="Arial"/>
          <w:b/>
          <w:bCs/>
          <w:color w:val="0D7377"/>
          <w:sz w:val="24"/>
          <w:szCs w:val="24"/>
        </w:rPr>
        <w:t xml:space="preserve">4.3 Entregables de la Fase 1</w:t>
      </w:r>
    </w:p>
    <w:p>
      <w:pPr>
        <w:pStyle w:val="ListParagraph"/>
        <w:numPr>
          <w:ilvl w:val="0"/>
          <w:numId w:val="2"/>
        </w:numPr>
        <w:spacing w:after="60" w:before="40"/>
      </w:pPr>
      <w:r>
        <w:rPr>
          <w:rFonts w:ascii="Arial" w:cs="Arial" w:eastAsia="Arial" w:hAnsi="Arial"/>
          <w:color w:val="333333"/>
          <w:sz w:val="20"/>
          <w:szCs w:val="20"/>
        </w:rPr>
        <w:t xml:space="preserve">Manual metodológico v1: dimensiones, criterios, indicadores, guía de interpretación, ejemplos anotados.</w:t>
      </w:r>
    </w:p>
    <w:p>
      <w:pPr>
        <w:pStyle w:val="ListParagraph"/>
        <w:numPr>
          <w:ilvl w:val="0"/>
          <w:numId w:val="2"/>
        </w:numPr>
        <w:spacing w:after="60" w:before="40"/>
      </w:pPr>
      <w:r>
        <w:rPr>
          <w:rFonts w:ascii="Arial" w:cs="Arial" w:eastAsia="Arial" w:hAnsi="Arial"/>
          <w:color w:val="333333"/>
          <w:sz w:val="20"/>
          <w:szCs w:val="20"/>
        </w:rPr>
        <w:t xml:space="preserve">Batería de indicadores documentada: fichas técnicas por indicador con definición operacional, herramienta, umbral de interpretación y ejemplo.</w:t>
      </w:r>
    </w:p>
    <w:p>
      <w:pPr>
        <w:pStyle w:val="ListParagraph"/>
        <w:numPr>
          <w:ilvl w:val="0"/>
          <w:numId w:val="2"/>
        </w:numPr>
        <w:spacing w:after="60" w:before="40"/>
      </w:pPr>
      <w:r>
        <w:rPr>
          <w:rFonts w:ascii="Arial" w:cs="Arial" w:eastAsia="Arial" w:hAnsi="Arial"/>
          <w:color w:val="333333"/>
          <w:sz w:val="20"/>
          <w:szCs w:val="20"/>
        </w:rPr>
        <w:t xml:space="preserve">Protocolo de codificación: instrucciones para segunda anotación (IAA κ&gt;0.80, n=500 fragmentos).</w:t>
      </w:r>
    </w:p>
    <w:p>
      <w:pPr>
        <w:pStyle w:val="ListParagraph"/>
        <w:numPr>
          <w:ilvl w:val="0"/>
          <w:numId w:val="2"/>
        </w:numPr>
        <w:spacing w:after="60" w:before="40"/>
      </w:pPr>
      <w:r>
        <w:rPr>
          <w:rFonts w:ascii="Arial" w:cs="Arial" w:eastAsia="Arial" w:hAnsi="Arial"/>
          <w:color w:val="333333"/>
          <w:sz w:val="20"/>
          <w:szCs w:val="20"/>
        </w:rPr>
        <w:t xml:space="preserve">Informe de alineación normativa: correspondencia entre indicadores CFH y mandatos del Acuerdo de Paz, la Resolución 01/2022 y los Principios Joinet-Orentlicher.</w:t>
      </w:r>
    </w:p>
    <w:p>
      <w:pPr>
        <w:spacing w:after="120" w:before="0"/>
      </w:pPr>
      <w:r>
        <w:t xml:space="preserve"/>
      </w:r>
    </w:p>
    <w:p>
      <w:pPr>
        <w:pStyle w:val="Heading1"/>
        <w:spacing w:after="160" w:before="400"/>
      </w:pPr>
      <w:r>
        <w:rPr>
          <w:rFonts w:ascii="Arial" w:cs="Arial" w:eastAsia="Arial" w:hAnsi="Arial"/>
          <w:b/>
          <w:bCs/>
          <w:color w:val="1F3A6E"/>
          <w:sz w:val="28"/>
          <w:szCs w:val="28"/>
        </w:rPr>
        <w:t xml:space="preserve">5. Fase 2 — Herramienta Tecnológica e Implementación (Meses 4–7)</w:t>
      </w:r>
    </w:p>
    <w:p>
      <w:pPr>
        <w:pBdr>
          <w:bottom w:val="single" w:color="0D7377" w:sz="6" w:space="1"/>
        </w:pBdr>
        <w:spacing w:after="120" w:before="120"/>
      </w:pPr>
      <w:r>
        <w:t xml:space="preserve"/>
      </w:r>
    </w:p>
    <w:p>
      <w:pPr>
        <w:spacing w:after="100" w:before="60"/>
      </w:pPr>
      <w:r>
        <w:rPr>
          <w:rFonts w:ascii="Arial" w:cs="Arial" w:eastAsia="Arial" w:hAnsi="Arial"/>
          <w:color w:val="333333"/>
          <w:sz w:val="20"/>
          <w:szCs w:val="20"/>
        </w:rPr>
        <w:t xml:space="preserve">La Fase 2 ejecuta las Obligaciones 3 y 7. Implementa el sistema tecnológico en tres capas: primero el RAG institucional sobre corpus escrito, luego el Dashboard ICM para audiencias orales, finalmente la automatización del pipeline completo.</w:t>
      </w:r>
    </w:p>
    <w:p>
      <w:pPr>
        <w:spacing w:after="60" w:before="0"/>
      </w:pPr>
      <w:r>
        <w:t xml:space="preserve"/>
      </w:r>
    </w:p>
    <w:p>
      <w:pPr>
        <w:pStyle w:val="Heading2"/>
        <w:spacing w:after="120" w:before="280"/>
      </w:pPr>
      <w:r>
        <w:rPr>
          <w:rFonts w:ascii="Arial" w:cs="Arial" w:eastAsia="Arial" w:hAnsi="Arial"/>
          <w:b/>
          <w:bCs/>
          <w:color w:val="0D7377"/>
          <w:sz w:val="24"/>
          <w:szCs w:val="24"/>
        </w:rPr>
        <w:t xml:space="preserve">5.1 Arquitectura del Sistema (Obligación 3 y 7)</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rPr>
          <w:tblHeader/>
        </w:trPr>
        <w:tc>
          <w:tcPr>
            <w:tcW w:type="dxa" w:w="20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Componente</w:t>
            </w:r>
          </w:p>
        </w:tc>
        <w:tc>
          <w:tcPr>
            <w:tcW w:type="dxa" w:w="22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Función</w:t>
            </w:r>
          </w:p>
        </w:tc>
        <w:tc>
          <w:tcPr>
            <w:tcW w:type="dxa" w:w="256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Tecnología</w:t>
            </w:r>
          </w:p>
        </w:tc>
        <w:tc>
          <w:tcPr>
            <w:tcW w:type="dxa" w:w="26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Obligación</w:t>
            </w:r>
          </w:p>
        </w:tc>
      </w:tr>
      <w:tr>
        <w:tc>
          <w:tcPr>
            <w:tcW w:type="dxa" w:w="20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Ingesta y estructuración</w:t>
            </w:r>
          </w:p>
        </w:tc>
        <w:tc>
          <w:tcPr>
            <w:tcW w:type="dxa" w:w="22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Depuración, normalización e integración del corpus JEP</w:t>
            </w:r>
          </w:p>
        </w:tc>
        <w:tc>
          <w:tcPr>
            <w:tcW w:type="dxa" w:w="25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Python + PostgreSQL + DVC</w:t>
            </w:r>
          </w:p>
        </w:tc>
        <w:tc>
          <w:tcPr>
            <w:tcW w:type="dxa" w:w="2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O7</w:t>
            </w:r>
          </w:p>
        </w:tc>
      </w:tr>
      <w:tr>
        <w:tc>
          <w:tcPr>
            <w:tcW w:type="dxa" w:w="20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Sistema RAG institucional</w:t>
            </w:r>
          </w:p>
        </w:tc>
        <w:tc>
          <w:tcPr>
            <w:tcW w:type="dxa" w:w="22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Consulta en lenguaje natural sobre providencias escritas</w:t>
            </w:r>
          </w:p>
        </w:tc>
        <w:tc>
          <w:tcPr>
            <w:tcW w:type="dxa" w:w="25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ConfliBERT-SP + pgvector + FastAPI</w:t>
            </w:r>
          </w:p>
        </w:tc>
        <w:tc>
          <w:tcPr>
            <w:tcW w:type="dxa" w:w="2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O3, O7</w:t>
            </w:r>
          </w:p>
        </w:tc>
      </w:tr>
      <w:tr>
        <w:tc>
          <w:tcPr>
            <w:tcW w:type="dxa" w:w="20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Análisis léxico-sintáctico</w:t>
            </w:r>
          </w:p>
        </w:tc>
        <w:tc>
          <w:tcPr>
            <w:tcW w:type="dxa" w:w="22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Extracción de indicadores y₁–y₄, y₁₀ sobre bloques textuales</w:t>
            </w:r>
          </w:p>
        </w:tc>
        <w:tc>
          <w:tcPr>
            <w:tcW w:type="dxa" w:w="25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CFH-BERT v3 + spaCy</w:t>
            </w:r>
          </w:p>
        </w:tc>
        <w:tc>
          <w:tcPr>
            <w:tcW w:type="dxa" w:w="2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O3, O7</w:t>
            </w:r>
          </w:p>
        </w:tc>
      </w:tr>
      <w:tr>
        <w:tc>
          <w:tcPr>
            <w:tcW w:type="dxa" w:w="20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Análisis semántico profundo</w:t>
            </w:r>
          </w:p>
        </w:tc>
        <w:tc>
          <w:tcPr>
            <w:tcW w:type="dxa" w:w="22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Distancias coseno y₈ (MAFAPO) e y₉ (CIDH) por bloque</w:t>
            </w:r>
          </w:p>
        </w:tc>
        <w:tc>
          <w:tcPr>
            <w:tcW w:type="dxa" w:w="25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ConfliBERT-Spanish</w:t>
            </w:r>
          </w:p>
        </w:tc>
        <w:tc>
          <w:tcPr>
            <w:tcW w:type="dxa" w:w="2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O3</w:t>
            </w:r>
          </w:p>
        </w:tc>
      </w:tr>
      <w:tr>
        <w:tc>
          <w:tcPr>
            <w:tcW w:type="dxa" w:w="20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Análisis multimodal (oral)</w:t>
            </w:r>
          </w:p>
        </w:tc>
        <w:tc>
          <w:tcPr>
            <w:tcW w:type="dxa" w:w="22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ICM tri-canal: texto+voz+rostro sobre audiencias en video</w:t>
            </w:r>
          </w:p>
        </w:tc>
        <w:tc>
          <w:tcPr>
            <w:tcW w:type="dxa" w:w="25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Whisper + pyannote + OpenSMILE + MediaPipe</w:t>
            </w:r>
          </w:p>
        </w:tc>
        <w:tc>
          <w:tcPr>
            <w:tcW w:type="dxa" w:w="2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O3, O7</w:t>
            </w:r>
          </w:p>
        </w:tc>
      </w:tr>
      <w:tr>
        <w:tc>
          <w:tcPr>
            <w:tcW w:type="dxa" w:w="20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Cómputo de índices</w:t>
            </w:r>
          </w:p>
        </w:tc>
        <w:tc>
          <w:tcPr>
            <w:tcW w:type="dxa" w:w="22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DIS, IEI, ICM por bloque, sección, providencia y período</w:t>
            </w:r>
          </w:p>
        </w:tc>
        <w:tc>
          <w:tcPr>
            <w:tcW w:type="dxa" w:w="25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Modelo SEM (semopy)</w:t>
            </w:r>
          </w:p>
        </w:tc>
        <w:tc>
          <w:tcPr>
            <w:tcW w:type="dxa" w:w="2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O3</w:t>
            </w:r>
          </w:p>
        </w:tc>
      </w:tr>
      <w:tr>
        <w:tc>
          <w:tcPr>
            <w:tcW w:type="dxa" w:w="20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Dashboard de monitoreo</w:t>
            </w:r>
          </w:p>
        </w:tc>
        <w:tc>
          <w:tcPr>
            <w:tcW w:type="dxa" w:w="22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Visualización en tiempo real + reportes confidenciales exportables</w:t>
            </w:r>
          </w:p>
        </w:tc>
        <w:tc>
          <w:tcPr>
            <w:tcW w:type="dxa" w:w="25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Streamlit + PostgreSQL + REST API</w:t>
            </w:r>
          </w:p>
        </w:tc>
        <w:tc>
          <w:tcPr>
            <w:tcW w:type="dxa" w:w="2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O3</w:t>
            </w:r>
          </w:p>
        </w:tc>
      </w:tr>
      <w:tr>
        <w:tc>
          <w:tcPr>
            <w:tcW w:type="dxa" w:w="20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Generación de recomendaciones</w:t>
            </w:r>
          </w:p>
        </w:tc>
        <w:tc>
          <w:tcPr>
            <w:tcW w:type="dxa" w:w="22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Observaciones automáticas de redacción alineadas con metodología CFH</w:t>
            </w:r>
          </w:p>
        </w:tc>
        <w:tc>
          <w:tcPr>
            <w:tcW w:type="dxa" w:w="25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LLM generativo + RAG + reglas metodológicas</w:t>
            </w:r>
          </w:p>
        </w:tc>
        <w:tc>
          <w:tcPr>
            <w:tcW w:type="dxa" w:w="2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O3</w:t>
            </w:r>
          </w:p>
        </w:tc>
      </w:tr>
    </w:tbl>
    <w:p>
      <w:pPr>
        <w:spacing w:after="60" w:before="0"/>
      </w:pPr>
      <w:r>
        <w:t xml:space="preserve"/>
      </w:r>
    </w:p>
    <w:p>
      <w:pPr>
        <w:pStyle w:val="Heading2"/>
        <w:spacing w:after="120" w:before="280"/>
      </w:pPr>
      <w:r>
        <w:rPr>
          <w:rFonts w:ascii="Arial" w:cs="Arial" w:eastAsia="Arial" w:hAnsi="Arial"/>
          <w:b/>
          <w:bCs/>
          <w:color w:val="0D7377"/>
          <w:sz w:val="24"/>
          <w:szCs w:val="24"/>
        </w:rPr>
        <w:t xml:space="preserve">5.2 Módulo de Automatización (Obligación 7)</w:t>
      </w:r>
    </w:p>
    <w:p>
      <w:pPr>
        <w:spacing w:after="100" w:before="60"/>
      </w:pPr>
      <w:r>
        <w:rPr>
          <w:rFonts w:ascii="Arial" w:cs="Arial" w:eastAsia="Arial" w:hAnsi="Arial"/>
          <w:color w:val="333333"/>
          <w:sz w:val="20"/>
          <w:szCs w:val="20"/>
        </w:rPr>
        <w:t xml:space="preserve">El pipeline de automatización cubre las siguientes etapas de procesamiento de providencias judiciales:</w:t>
      </w:r>
    </w:p>
    <w:p>
      <w:pPr>
        <w:pStyle w:val="ListParagraph"/>
        <w:numPr>
          <w:ilvl w:val="0"/>
          <w:numId w:val="2"/>
        </w:numPr>
        <w:spacing w:after="60" w:before="40"/>
      </w:pPr>
      <w:r>
        <w:rPr>
          <w:rFonts w:ascii="Arial" w:cs="Arial" w:eastAsia="Arial" w:hAnsi="Arial"/>
          <w:color w:val="333333"/>
          <w:sz w:val="20"/>
          <w:szCs w:val="20"/>
        </w:rPr>
        <w:t xml:space="preserve">Ingesta: carga automática de nuevas providencias (PDF/DOCX) con OCR cuando se requiere.</w:t>
      </w:r>
    </w:p>
    <w:p>
      <w:pPr>
        <w:pStyle w:val="ListParagraph"/>
        <w:numPr>
          <w:ilvl w:val="0"/>
          <w:numId w:val="2"/>
        </w:numPr>
        <w:spacing w:after="60" w:before="40"/>
      </w:pPr>
      <w:r>
        <w:rPr>
          <w:rFonts w:ascii="Arial" w:cs="Arial" w:eastAsia="Arial" w:hAnsi="Arial"/>
          <w:color w:val="333333"/>
          <w:sz w:val="20"/>
          <w:szCs w:val="20"/>
        </w:rPr>
        <w:t xml:space="preserve">Preprocesamiento: limpieza, segmentación por secciones estructurales (HECHOS, MOTIVACIÓN, RECONOCIMIENTO, RESOLUTIVO), normalización de entidades.</w:t>
      </w:r>
    </w:p>
    <w:p>
      <w:pPr>
        <w:pStyle w:val="ListParagraph"/>
        <w:numPr>
          <w:ilvl w:val="0"/>
          <w:numId w:val="2"/>
        </w:numPr>
        <w:spacing w:after="60" w:before="40"/>
      </w:pPr>
      <w:r>
        <w:rPr>
          <w:rFonts w:ascii="Arial" w:cs="Arial" w:eastAsia="Arial" w:hAnsi="Arial"/>
          <w:color w:val="333333"/>
          <w:sz w:val="20"/>
          <w:szCs w:val="20"/>
        </w:rPr>
        <w:t xml:space="preserve">Clasificación automática: asignación de tipo de providencia (auto, resolución, sentencia) y macrocaso.</w:t>
      </w:r>
    </w:p>
    <w:p>
      <w:pPr>
        <w:pStyle w:val="ListParagraph"/>
        <w:numPr>
          <w:ilvl w:val="0"/>
          <w:numId w:val="2"/>
        </w:numPr>
        <w:spacing w:after="60" w:before="40"/>
      </w:pPr>
      <w:r>
        <w:rPr>
          <w:rFonts w:ascii="Arial" w:cs="Arial" w:eastAsia="Arial" w:hAnsi="Arial"/>
          <w:color w:val="333333"/>
          <w:sz w:val="20"/>
          <w:szCs w:val="20"/>
        </w:rPr>
        <w:t xml:space="preserve">Extracción de indicadores: cómputo automático de y₁ a y₁₀ con CFH-BERT v3 y ConfliBERT-Spanish.</w:t>
      </w:r>
    </w:p>
    <w:p>
      <w:pPr>
        <w:pStyle w:val="ListParagraph"/>
        <w:numPr>
          <w:ilvl w:val="0"/>
          <w:numId w:val="2"/>
        </w:numPr>
        <w:spacing w:after="60" w:before="40"/>
      </w:pPr>
      <w:r>
        <w:rPr>
          <w:rFonts w:ascii="Arial" w:cs="Arial" w:eastAsia="Arial" w:hAnsi="Arial"/>
          <w:color w:val="333333"/>
          <w:sz w:val="20"/>
          <w:szCs w:val="20"/>
        </w:rPr>
        <w:t xml:space="preserve">Síntesis de índices: cálculo de DIS, IEI y — cuando hay audio/video disponible — ICM.</w:t>
      </w:r>
    </w:p>
    <w:p>
      <w:pPr>
        <w:pStyle w:val="ListParagraph"/>
        <w:numPr>
          <w:ilvl w:val="0"/>
          <w:numId w:val="2"/>
        </w:numPr>
        <w:spacing w:after="60" w:before="40"/>
      </w:pPr>
      <w:r>
        <w:rPr>
          <w:rFonts w:ascii="Arial" w:cs="Arial" w:eastAsia="Arial" w:hAnsi="Arial"/>
          <w:color w:val="333333"/>
          <w:sz w:val="20"/>
          <w:szCs w:val="20"/>
        </w:rPr>
        <w:t xml:space="preserve">Generación de recomendaciones: producción automatizada de observaciones de redacción con referencias concretas a secciones y pasajes de la providencia.</w:t>
      </w:r>
    </w:p>
    <w:p>
      <w:pPr>
        <w:spacing w:after="60" w:before="0"/>
      </w:pPr>
      <w:r>
        <w:t xml:space="preserve"/>
      </w:r>
    </w:p>
    <w:p>
      <w:pPr>
        <w:pStyle w:val="Heading2"/>
        <w:spacing w:after="120" w:before="280"/>
      </w:pPr>
      <w:r>
        <w:rPr>
          <w:rFonts w:ascii="Arial" w:cs="Arial" w:eastAsia="Arial" w:hAnsi="Arial"/>
          <w:b/>
          <w:bCs/>
          <w:color w:val="0D7377"/>
          <w:sz w:val="24"/>
          <w:szCs w:val="24"/>
        </w:rPr>
        <w:t xml:space="preserve">5.3 Entregables de la Fase 2</w:t>
      </w:r>
    </w:p>
    <w:p>
      <w:pPr>
        <w:pStyle w:val="ListParagraph"/>
        <w:numPr>
          <w:ilvl w:val="0"/>
          <w:numId w:val="2"/>
        </w:numPr>
        <w:spacing w:after="60" w:before="40"/>
      </w:pPr>
      <w:r>
        <w:rPr>
          <w:rFonts w:ascii="Arial" w:cs="Arial" w:eastAsia="Arial" w:hAnsi="Arial"/>
          <w:color w:val="333333"/>
          <w:sz w:val="20"/>
          <w:szCs w:val="20"/>
        </w:rPr>
        <w:t xml:space="preserve">Sistema RAG institucional desplegado (Mes 5): endpoint REST + interfaz web de consulta para el equipo de monitoreo.</w:t>
      </w:r>
    </w:p>
    <w:p>
      <w:pPr>
        <w:pStyle w:val="ListParagraph"/>
        <w:numPr>
          <w:ilvl w:val="0"/>
          <w:numId w:val="2"/>
        </w:numPr>
        <w:spacing w:after="60" w:before="40"/>
      </w:pPr>
      <w:r>
        <w:rPr>
          <w:rFonts w:ascii="Arial" w:cs="Arial" w:eastAsia="Arial" w:hAnsi="Arial"/>
          <w:color w:val="333333"/>
          <w:sz w:val="20"/>
          <w:szCs w:val="20"/>
        </w:rPr>
        <w:t xml:space="preserve">CFH-BERT v3 con IAA κ&gt;0.80 (Mes 5): modelo de lenguaje fine-tuned, validado con segundo anotador, n≥500 fragmentos.</w:t>
      </w:r>
    </w:p>
    <w:p>
      <w:pPr>
        <w:pStyle w:val="ListParagraph"/>
        <w:numPr>
          <w:ilvl w:val="0"/>
          <w:numId w:val="2"/>
        </w:numPr>
        <w:spacing w:after="60" w:before="40"/>
      </w:pPr>
      <w:r>
        <w:rPr>
          <w:rFonts w:ascii="Arial" w:cs="Arial" w:eastAsia="Arial" w:hAnsi="Arial"/>
          <w:color w:val="333333"/>
          <w:sz w:val="20"/>
          <w:szCs w:val="20"/>
        </w:rPr>
        <w:t xml:space="preserve">Dashboard ICM v1 (Mes 7): visualización DIS/IEI/ICM por providencia, sección y hablante; alertas de disociación DIS-IEI.</w:t>
      </w:r>
    </w:p>
    <w:p>
      <w:pPr>
        <w:pStyle w:val="ListParagraph"/>
        <w:numPr>
          <w:ilvl w:val="0"/>
          <w:numId w:val="2"/>
        </w:numPr>
        <w:spacing w:after="60" w:before="40"/>
      </w:pPr>
      <w:r>
        <w:rPr>
          <w:rFonts w:ascii="Arial" w:cs="Arial" w:eastAsia="Arial" w:hAnsi="Arial"/>
          <w:color w:val="333333"/>
          <w:sz w:val="20"/>
          <w:szCs w:val="20"/>
        </w:rPr>
        <w:t xml:space="preserve">Pipeline automatizado documentado (Mes 7): repositorio reproducible con pyproject.toml, datos de muestra, protocolo de replicación.</w:t>
      </w:r>
    </w:p>
    <w:p>
      <w:pPr>
        <w:pStyle w:val="ListParagraph"/>
        <w:numPr>
          <w:ilvl w:val="0"/>
          <w:numId w:val="2"/>
        </w:numPr>
        <w:spacing w:after="60" w:before="40"/>
      </w:pPr>
      <w:r>
        <w:rPr>
          <w:rFonts w:ascii="Arial" w:cs="Arial" w:eastAsia="Arial" w:hAnsi="Arial"/>
          <w:color w:val="333333"/>
          <w:sz w:val="20"/>
          <w:szCs w:val="20"/>
        </w:rPr>
        <w:t xml:space="preserve">Protocolo de gobernanza de datos (Mes 6): documentación de actualización continua del corpus, trazabilidad de decisiones del sistema.</w:t>
      </w:r>
    </w:p>
    <w:p>
      <w:pPr>
        <w:spacing w:after="120" w:before="0"/>
      </w:pPr>
      <w:r>
        <w:t xml:space="preserve"/>
      </w:r>
    </w:p>
    <w:p>
      <w:pPr>
        <w:pStyle w:val="Heading1"/>
        <w:spacing w:after="160" w:before="400"/>
      </w:pPr>
      <w:r>
        <w:rPr>
          <w:rFonts w:ascii="Arial" w:cs="Arial" w:eastAsia="Arial" w:hAnsi="Arial"/>
          <w:b/>
          <w:bCs/>
          <w:color w:val="1F3A6E"/>
          <w:sz w:val="28"/>
          <w:szCs w:val="28"/>
        </w:rPr>
        <w:t xml:space="preserve">6. Fase 3 — Validación, Calibración y Planes Piloto (Meses 7–10)</w:t>
      </w:r>
    </w:p>
    <w:p>
      <w:pPr>
        <w:pBdr>
          <w:bottom w:val="single" w:color="0D7377" w:sz="6" w:space="1"/>
        </w:pBdr>
        <w:spacing w:after="120" w:before="120"/>
      </w:pPr>
      <w:r>
        <w:t xml:space="preserve"/>
      </w:r>
    </w:p>
    <w:p>
      <w:pPr>
        <w:spacing w:after="100" w:before="60"/>
      </w:pPr>
      <w:r>
        <w:rPr>
          <w:rFonts w:ascii="Arial" w:cs="Arial" w:eastAsia="Arial" w:hAnsi="Arial"/>
          <w:color w:val="333333"/>
          <w:sz w:val="20"/>
          <w:szCs w:val="20"/>
        </w:rPr>
        <w:t xml:space="preserve">La Fase 3 ejecuta las Obligaciones 4, 5 y 8. Somete la herramienta a procesos de validación técnica (perceptual, estadística, intersectional) y participativa (magistraturas, víctimas, expertos), y ejecuta planes piloto sobre subcasos seleccionados.</w:t>
      </w:r>
    </w:p>
    <w:p>
      <w:pPr>
        <w:spacing w:after="60" w:before="0"/>
      </w:pPr>
      <w:r>
        <w:t xml:space="preserve"/>
      </w:r>
    </w:p>
    <w:p>
      <w:pPr>
        <w:pStyle w:val="Heading2"/>
        <w:spacing w:after="120" w:before="280"/>
      </w:pPr>
      <w:r>
        <w:rPr>
          <w:rFonts w:ascii="Arial" w:cs="Arial" w:eastAsia="Arial" w:hAnsi="Arial"/>
          <w:b/>
          <w:bCs/>
          <w:color w:val="0D7377"/>
          <w:sz w:val="24"/>
          <w:szCs w:val="24"/>
        </w:rPr>
        <w:t xml:space="preserve">6.1 Validación y Mejora Continua (Obligación 4)</w:t>
      </w:r>
    </w:p>
    <w:p>
      <w:pPr>
        <w:pStyle w:val="ListParagraph"/>
        <w:numPr>
          <w:ilvl w:val="0"/>
          <w:numId w:val="2"/>
        </w:numPr>
        <w:spacing w:after="60" w:before="40"/>
      </w:pPr>
      <w:r>
        <w:rPr>
          <w:rFonts w:ascii="Arial" w:cs="Arial" w:eastAsia="Arial" w:hAnsi="Arial"/>
          <w:b/>
          <w:bCs/>
          <w:color w:val="1F3A6E"/>
          <w:sz w:val="20"/>
          <w:szCs w:val="20"/>
        </w:rPr>
        <w:t xml:space="preserve">ICM → </w:t>
      </w:r>
      <w:r>
        <w:rPr>
          <w:rFonts w:ascii="Arial" w:cs="Arial" w:eastAsia="Arial" w:hAnsi="Arial"/>
          <w:color w:val="333333"/>
          <w:sz w:val="20"/>
          <w:szCs w:val="20"/>
        </w:rPr>
        <w:t xml:space="preserve">Validación perceptual del ICM: correlación entre el índice calculado y la percepción humana de coherencia comunicativa. Jueces entrenados evalúan muestra del Corpus C (Baird &amp; Coutinho, 2019). Resultado: paper de validación.</w:t>
      </w:r>
    </w:p>
    <w:p>
      <w:pPr>
        <w:pStyle w:val="ListParagraph"/>
        <w:numPr>
          <w:ilvl w:val="0"/>
          <w:numId w:val="2"/>
        </w:numPr>
        <w:spacing w:after="60" w:before="40"/>
      </w:pPr>
      <w:r>
        <w:rPr>
          <w:rFonts w:ascii="Arial" w:cs="Arial" w:eastAsia="Arial" w:hAnsi="Arial"/>
          <w:b/>
          <w:bCs/>
          <w:color w:val="1F3A6E"/>
          <w:sz w:val="20"/>
          <w:szCs w:val="20"/>
        </w:rPr>
        <w:t xml:space="preserve">Calibración → </w:t>
      </w:r>
      <w:r>
        <w:rPr>
          <w:rFonts w:ascii="Arial" w:cs="Arial" w:eastAsia="Arial" w:hAnsi="Arial"/>
          <w:color w:val="333333"/>
          <w:sz w:val="20"/>
          <w:szCs w:val="20"/>
        </w:rPr>
        <w:t xml:space="preserve">Análisis comparado entre providencias: comparación de resultados del sistema con análisis cualitativo independiente de tres providencias seleccionadas. Identificación de divergencias y ajuste de umbrales.</w:t>
      </w:r>
    </w:p>
    <w:p>
      <w:pPr>
        <w:pStyle w:val="ListParagraph"/>
        <w:numPr>
          <w:ilvl w:val="0"/>
          <w:numId w:val="2"/>
        </w:numPr>
        <w:spacing w:after="60" w:before="40"/>
      </w:pPr>
      <w:r>
        <w:rPr>
          <w:rFonts w:ascii="Arial" w:cs="Arial" w:eastAsia="Arial" w:hAnsi="Arial"/>
          <w:b/>
          <w:bCs/>
          <w:color w:val="1F3A6E"/>
          <w:sz w:val="20"/>
          <w:szCs w:val="20"/>
        </w:rPr>
        <w:t xml:space="preserve">Ajuste → </w:t>
      </w:r>
      <w:r>
        <w:rPr>
          <w:rFonts w:ascii="Arial" w:cs="Arial" w:eastAsia="Arial" w:hAnsi="Arial"/>
          <w:color w:val="333333"/>
          <w:sz w:val="20"/>
          <w:szCs w:val="20"/>
        </w:rPr>
        <w:t xml:space="preserve">Retroalimentación especializada: sesiones de trabajo con el equipo jurídico de la SRVR para ajustar los indicadores al lenguaje real de las providencias JEP (vs. corpus original de justicia ordinaria).</w:t>
      </w:r>
    </w:p>
    <w:p>
      <w:pPr>
        <w:pStyle w:val="ListParagraph"/>
        <w:numPr>
          <w:ilvl w:val="0"/>
          <w:numId w:val="2"/>
        </w:numPr>
        <w:spacing w:after="60" w:before="40"/>
      </w:pPr>
      <w:r>
        <w:rPr>
          <w:rFonts w:ascii="Arial" w:cs="Arial" w:eastAsia="Arial" w:hAnsi="Arial"/>
          <w:b/>
          <w:bCs/>
          <w:color w:val="1F3A6E"/>
          <w:sz w:val="20"/>
          <w:szCs w:val="20"/>
        </w:rPr>
        <w:t xml:space="preserve">Optimización → </w:t>
      </w:r>
      <w:r>
        <w:rPr>
          <w:rFonts w:ascii="Arial" w:cs="Arial" w:eastAsia="Arial" w:hAnsi="Arial"/>
          <w:color w:val="333333"/>
          <w:sz w:val="20"/>
          <w:szCs w:val="20"/>
        </w:rPr>
        <w:t xml:space="preserve">Optimización del modelo SEM: estimación con variable y₇ (surprisal BETO); validación MG-SEM por género del hablante y período procesal.</w:t>
      </w:r>
    </w:p>
    <w:p>
      <w:pPr>
        <w:pStyle w:val="ListParagraph"/>
        <w:numPr>
          <w:ilvl w:val="0"/>
          <w:numId w:val="2"/>
        </w:numPr>
        <w:spacing w:after="60" w:before="40"/>
      </w:pPr>
      <w:r>
        <w:rPr>
          <w:rFonts w:ascii="Arial" w:cs="Arial" w:eastAsia="Arial" w:hAnsi="Arial"/>
          <w:b/>
          <w:bCs/>
          <w:color w:val="1F3A6E"/>
          <w:sz w:val="20"/>
          <w:szCs w:val="20"/>
        </w:rPr>
        <w:t xml:space="preserve">Equidad → </w:t>
      </w:r>
      <w:r>
        <w:rPr>
          <w:rFonts w:ascii="Arial" w:cs="Arial" w:eastAsia="Arial" w:hAnsi="Arial"/>
          <w:color w:val="333333"/>
          <w:sz w:val="20"/>
          <w:szCs w:val="20"/>
        </w:rPr>
        <w:t xml:space="preserve">Auditoría intersectional completa: Gender Shades sobre módulo facial con muestra extendida. Publicación de informe de equidad.</w:t>
      </w:r>
    </w:p>
    <w:p>
      <w:pPr>
        <w:spacing w:after="60" w:before="0"/>
      </w:pPr>
      <w:r>
        <w:t xml:space="preserve"/>
      </w:r>
    </w:p>
    <w:p>
      <w:pPr>
        <w:pStyle w:val="Heading2"/>
        <w:spacing w:after="120" w:before="280"/>
      </w:pPr>
      <w:r>
        <w:rPr>
          <w:rFonts w:ascii="Arial" w:cs="Arial" w:eastAsia="Arial" w:hAnsi="Arial"/>
          <w:b/>
          <w:bCs/>
          <w:color w:val="0D7377"/>
          <w:sz w:val="24"/>
          <w:szCs w:val="24"/>
        </w:rPr>
        <w:t xml:space="preserve">6.2 Estrategia de Participación y Apropiación (Obligación 5)</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2"/>
              <w:bottom w:val="single" w:color="0D7377" w:sz="1"/>
              <w:right w:val="single" w:color="0D7377" w:sz="1"/>
            </w:tcBorders>
            <w:shd w:fill="E8F4F8" w:val="clear"/>
            <w:tcMar>
              <w:top w:type="dxa" w:w="120"/>
              <w:left w:type="dxa" w:w="200"/>
              <w:bottom w:type="dxa" w:w="120"/>
              <w:right w:type="dxa" w:w="200"/>
            </w:tcMar>
          </w:tcPr>
          <w:p>
            <w:r>
              <w:rPr>
                <w:rFonts w:ascii="Arial" w:cs="Arial" w:eastAsia="Arial" w:hAnsi="Arial"/>
                <w:b w:val="false"/>
                <w:bCs w:val="false"/>
                <w:color w:val="1F3A6E"/>
                <w:sz w:val="20"/>
                <w:szCs w:val="20"/>
              </w:rPr>
              <w:t xml:space="preserve">El proceso de validación participativa no es un paso final de verificación sino un componente constitutivo de la metodología. Los resultados del sistema carecen de valor operativo sin la validación de las organizaciones de víctimas y las magistraturas. Este principio está anclado en la Toronto Declaration y en los principios de justicia epistémica de Fricker (2007) que fundamentan el framework CFH.</w:t>
            </w:r>
          </w:p>
        </w:tc>
      </w:tr>
    </w:tbl>
    <w:p>
      <w:pPr>
        <w:spacing w:after="60" w:before="0"/>
      </w:pPr>
      <w:r>
        <w:t xml:space="preserve"/>
      </w:r>
    </w:p>
    <w:p>
      <w:pPr>
        <w:spacing w:after="100" w:before="60"/>
      </w:pPr>
      <w:r>
        <w:rPr>
          <w:rFonts w:ascii="Arial" w:cs="Arial" w:eastAsia="Arial" w:hAnsi="Arial"/>
          <w:color w:val="333333"/>
          <w:sz w:val="20"/>
          <w:szCs w:val="20"/>
        </w:rPr>
        <w:t xml:space="preserve">La estrategia de participación incluye los siguientes grupos de actores: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360"/>
        <w:gridCol w:w="1800"/>
      </w:tblGrid>
      <w:tr>
        <w:trPr>
          <w:tblHeader/>
        </w:trPr>
        <w:tc>
          <w:tcPr>
            <w:tcW w:type="dxa" w:w="22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Actor</w:t>
            </w:r>
          </w:p>
        </w:tc>
        <w:tc>
          <w:tcPr>
            <w:tcW w:type="dxa" w:w="30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Modalidad de participación</w:t>
            </w:r>
          </w:p>
        </w:tc>
        <w:tc>
          <w:tcPr>
            <w:tcW w:type="dxa" w:w="236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Propósito</w:t>
            </w:r>
          </w:p>
        </w:tc>
        <w:tc>
          <w:tcPr>
            <w:tcW w:type="dxa" w:w="18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Mes</w:t>
            </w:r>
          </w:p>
        </w:tc>
      </w:tr>
      <w:tr>
        <w:tc>
          <w:tcPr>
            <w:tcW w:type="dxa" w:w="22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Magistraturas y equipos de apoyo SRVR</w:t>
            </w:r>
          </w:p>
        </w:tc>
        <w:tc>
          <w:tcPr>
            <w:tcW w:type="dxa" w:w="30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Taller metodológico (4 h) + sesión de retroalimentación sobre resultados preliminares</w:t>
            </w:r>
          </w:p>
        </w:tc>
        <w:tc>
          <w:tcPr>
            <w:tcW w:type="dxa" w:w="23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Validar pertinencia jurídica de indicadores; ajustar reportes al flujo de trabajo real</w:t>
            </w:r>
          </w:p>
        </w:tc>
        <w:tc>
          <w:tcPr>
            <w:tcW w:type="dxa" w:w="18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Mes 8</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MAFAPO y organizaciones de víctimas Caso 03</w:t>
            </w:r>
          </w:p>
        </w:tc>
        <w:tc>
          <w:tcPr>
            <w:tcW w:type="dxa" w:w="30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Sesión co-validación (3 h): presentación de resultados y₈, IEI + evaluación participativa</w:t>
            </w:r>
          </w:p>
        </w:tc>
        <w:tc>
          <w:tcPr>
            <w:tcW w:type="dxa" w:w="23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Verificar que el indicador IEI captura lo que las víctimas entienden por reconocimiento genuino</w:t>
            </w:r>
          </w:p>
        </w:tc>
        <w:tc>
          <w:tcPr>
            <w:tcW w:type="dxa" w:w="18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Mes 9</w:t>
            </w:r>
          </w:p>
        </w:tc>
      </w:tr>
      <w:tr>
        <w:tc>
          <w:tcPr>
            <w:tcW w:type="dxa" w:w="22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Expertos externos (NLP, DDHH, justicia transicional)</w:t>
            </w:r>
          </w:p>
        </w:tc>
        <w:tc>
          <w:tcPr>
            <w:tcW w:type="dxa" w:w="30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Panel de revisión (2 sesiones): metodología + herramienta</w:t>
            </w:r>
          </w:p>
        </w:tc>
        <w:tc>
          <w:tcPr>
            <w:tcW w:type="dxa" w:w="23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Validación académica y de DDHH; recomendaciones de adopción institucional</w:t>
            </w:r>
          </w:p>
        </w:tc>
        <w:tc>
          <w:tcPr>
            <w:tcW w:type="dxa" w:w="18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Mes 9</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Dependencias de la Jurisdicción</w:t>
            </w:r>
          </w:p>
        </w:tc>
        <w:tc>
          <w:tcPr>
            <w:tcW w:type="dxa" w:w="30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Capacitación (8 h): uso del sistema, interpretación de resultados, actualización del corpus</w:t>
            </w:r>
          </w:p>
        </w:tc>
        <w:tc>
          <w:tcPr>
            <w:tcW w:type="dxa" w:w="23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Apropiación institucional; sostenibilidad post-contrato</w:t>
            </w:r>
          </w:p>
        </w:tc>
        <w:tc>
          <w:tcPr>
            <w:tcW w:type="dxa" w:w="18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Mes 10</w:t>
            </w:r>
          </w:p>
        </w:tc>
      </w:tr>
    </w:tbl>
    <w:p>
      <w:pPr>
        <w:spacing w:after="60" w:before="0"/>
      </w:pPr>
      <w:r>
        <w:t xml:space="preserve"/>
      </w:r>
    </w:p>
    <w:p>
      <w:pPr>
        <w:pStyle w:val="Heading2"/>
        <w:spacing w:after="120" w:before="280"/>
      </w:pPr>
      <w:r>
        <w:rPr>
          <w:rFonts w:ascii="Arial" w:cs="Arial" w:eastAsia="Arial" w:hAnsi="Arial"/>
          <w:b/>
          <w:bCs/>
          <w:color w:val="0D7377"/>
          <w:sz w:val="24"/>
          <w:szCs w:val="24"/>
        </w:rPr>
        <w:t xml:space="preserve">6.3 Planes Piloto de Automatización (Obligación 8)</w:t>
      </w:r>
    </w:p>
    <w:p>
      <w:pPr>
        <w:spacing w:after="100" w:before="60"/>
      </w:pPr>
      <w:r>
        <w:rPr>
          <w:rFonts w:ascii="Arial" w:cs="Arial" w:eastAsia="Arial" w:hAnsi="Arial"/>
          <w:color w:val="333333"/>
          <w:sz w:val="20"/>
          <w:szCs w:val="20"/>
        </w:rPr>
        <w:t xml:space="preserve">Se ejecutan tres planes piloto secuenciales, cada uno sobre un subcaso del Macrocaso 003 con perfil de validación diferente: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960"/>
        <w:gridCol w:w="2800"/>
      </w:tblGrid>
      <w:tr>
        <w:trPr>
          <w:tblHeader/>
        </w:trPr>
        <w:tc>
          <w:tcPr>
            <w:tcW w:type="dxa" w:w="16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Piloto</w:t>
            </w:r>
          </w:p>
        </w:tc>
        <w:tc>
          <w:tcPr>
            <w:tcW w:type="dxa" w:w="20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Subcaso / corpus</w:t>
            </w:r>
          </w:p>
        </w:tc>
        <w:tc>
          <w:tcPr>
            <w:tcW w:type="dxa" w:w="296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Propósito de validación</w:t>
            </w:r>
          </w:p>
        </w:tc>
        <w:tc>
          <w:tcPr>
            <w:tcW w:type="dxa" w:w="28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Resultado esperado</w:t>
            </w:r>
          </w:p>
        </w:tc>
      </w:tr>
      <w:tr>
        <w:tc>
          <w:tcPr>
            <w:tcW w:type="dxa" w:w="1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P1 — Escrito</w:t>
            </w:r>
          </w:p>
        </w:tc>
        <w:tc>
          <w:tcPr>
            <w:tcW w:type="dxa" w:w="20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Dabeiba (corpus escrito: autos + resoluciones)</w:t>
            </w:r>
          </w:p>
        </w:tc>
        <w:tc>
          <w:tcPr>
            <w:tcW w:type="dxa" w:w="29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Validar pipeline en corpus textual con resultado extremo conocido (mejor perfil bi-índice CFH)</w:t>
            </w:r>
          </w:p>
        </w:tc>
        <w:tc>
          <w:tcPr>
            <w:tcW w:type="dxa" w:w="28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Verificación de precisión y escalabilidad en corpus escrito</w:t>
            </w:r>
          </w:p>
        </w:tc>
      </w:tr>
      <w:tr>
        <w:tc>
          <w:tcPr>
            <w:tcW w:type="dxa" w:w="1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P2 — Multimodal</w:t>
            </w:r>
          </w:p>
        </w:tc>
        <w:tc>
          <w:tcPr>
            <w:tcW w:type="dxa" w:w="20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Huila — Ollo La Tapia (corpus video disponible)</w:t>
            </w:r>
          </w:p>
        </w:tc>
        <w:tc>
          <w:tcPr>
            <w:tcW w:type="dxa" w:w="29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Validar ICM tri-canal en subcaso con perfil bi-índice favorable (DIS=0.228, IEI=0.081)</w:t>
            </w:r>
          </w:p>
        </w:tc>
        <w:tc>
          <w:tcPr>
            <w:tcW w:type="dxa" w:w="28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Correlación ICM calculado vs. percepción humana de jueces</w:t>
            </w:r>
          </w:p>
        </w:tc>
      </w:tr>
      <w:tr>
        <w:tc>
          <w:tcPr>
            <w:tcW w:type="dxa" w:w="1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P3 — Caso paradigmático</w:t>
            </w:r>
          </w:p>
        </w:tc>
        <w:tc>
          <w:tcPr>
            <w:tcW w:type="dxa" w:w="20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Catatumbo — Cap. Chaparro (caso DIS-IEI disociado)</w:t>
            </w:r>
          </w:p>
        </w:tc>
        <w:tc>
          <w:tcPr>
            <w:tcW w:type="dxa" w:w="29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Validar detección de disociación DIS-IEI (DIS=0.110, IEI=0.624, Δ=0.514)</w:t>
            </w:r>
          </w:p>
        </w:tc>
        <w:tc>
          <w:tcPr>
            <w:tcW w:type="dxa" w:w="28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Confirmación de sensibilidad del sistema al hallazgo metodológico central</w:t>
            </w:r>
          </w:p>
        </w:tc>
      </w:tr>
    </w:tbl>
    <w:p>
      <w:pPr>
        <w:spacing w:after="60" w:before="0"/>
      </w:pPr>
      <w:r>
        <w:t xml:space="preserve"/>
      </w:r>
    </w:p>
    <w:p>
      <w:pPr>
        <w:pStyle w:val="Heading2"/>
        <w:spacing w:after="120" w:before="280"/>
      </w:pPr>
      <w:r>
        <w:rPr>
          <w:rFonts w:ascii="Arial" w:cs="Arial" w:eastAsia="Arial" w:hAnsi="Arial"/>
          <w:b/>
          <w:bCs/>
          <w:color w:val="0D7377"/>
          <w:sz w:val="24"/>
          <w:szCs w:val="24"/>
        </w:rPr>
        <w:t xml:space="preserve">6.4 Entregables de la Fase 3</w:t>
      </w:r>
    </w:p>
    <w:p>
      <w:pPr>
        <w:pStyle w:val="ListParagraph"/>
        <w:numPr>
          <w:ilvl w:val="0"/>
          <w:numId w:val="2"/>
        </w:numPr>
        <w:spacing w:after="60" w:before="40"/>
      </w:pPr>
      <w:r>
        <w:rPr>
          <w:rFonts w:ascii="Arial" w:cs="Arial" w:eastAsia="Arial" w:hAnsi="Arial"/>
          <w:color w:val="333333"/>
          <w:sz w:val="20"/>
          <w:szCs w:val="20"/>
        </w:rPr>
        <w:t xml:space="preserve">Informe de validación perceptual ICM (Mes 9): correlación ICM calculado vs. jueces humanos; ajuste de pesos del modelo.</w:t>
      </w:r>
    </w:p>
    <w:p>
      <w:pPr>
        <w:pStyle w:val="ListParagraph"/>
        <w:numPr>
          <w:ilvl w:val="0"/>
          <w:numId w:val="2"/>
        </w:numPr>
        <w:spacing w:after="60" w:before="40"/>
      </w:pPr>
      <w:r>
        <w:rPr>
          <w:rFonts w:ascii="Arial" w:cs="Arial" w:eastAsia="Arial" w:hAnsi="Arial"/>
          <w:color w:val="333333"/>
          <w:sz w:val="20"/>
          <w:szCs w:val="20"/>
        </w:rPr>
        <w:t xml:space="preserve">Protocolo participativo documentado (Mes 9): metodología de co-validación con MAFAPO; registro de la sesión; ajustes del índice IEI derivados de la retroalimentación.</w:t>
      </w:r>
    </w:p>
    <w:p>
      <w:pPr>
        <w:pStyle w:val="ListParagraph"/>
        <w:numPr>
          <w:ilvl w:val="0"/>
          <w:numId w:val="2"/>
        </w:numPr>
        <w:spacing w:after="60" w:before="40"/>
      </w:pPr>
      <w:r>
        <w:rPr>
          <w:rFonts w:ascii="Arial" w:cs="Arial" w:eastAsia="Arial" w:hAnsi="Arial"/>
          <w:color w:val="333333"/>
          <w:sz w:val="20"/>
          <w:szCs w:val="20"/>
        </w:rPr>
        <w:t xml:space="preserve">Reportes de los tres planes piloto (Meses 8–10): viabilidad técnica, desempeño, precisión, escalabilidad y recomendaciones de ajuste por piloto.</w:t>
      </w:r>
    </w:p>
    <w:p>
      <w:pPr>
        <w:pStyle w:val="ListParagraph"/>
        <w:numPr>
          <w:ilvl w:val="0"/>
          <w:numId w:val="2"/>
        </w:numPr>
        <w:spacing w:after="60" w:before="40"/>
      </w:pPr>
      <w:r>
        <w:rPr>
          <w:rFonts w:ascii="Arial" w:cs="Arial" w:eastAsia="Arial" w:hAnsi="Arial"/>
          <w:color w:val="333333"/>
          <w:sz w:val="20"/>
          <w:szCs w:val="20"/>
        </w:rPr>
        <w:t xml:space="preserve">Dashboard CFH-Monitor v2 (Mes 10): versión actualizada con ajustes derivados de los pilotos y la validación participativa.</w:t>
      </w:r>
    </w:p>
    <w:p>
      <w:pPr>
        <w:pStyle w:val="ListParagraph"/>
        <w:numPr>
          <w:ilvl w:val="0"/>
          <w:numId w:val="2"/>
        </w:numPr>
        <w:spacing w:after="60" w:before="40"/>
      </w:pPr>
      <w:r>
        <w:rPr>
          <w:rFonts w:ascii="Arial" w:cs="Arial" w:eastAsia="Arial" w:hAnsi="Arial"/>
          <w:color w:val="333333"/>
          <w:sz w:val="20"/>
          <w:szCs w:val="20"/>
        </w:rPr>
        <w:t xml:space="preserve">Informe de recomendaciones de adopción institucional: formulado conjuntamente con magistraturas y expertos; incluye condiciones de uso, limitaciones y salvaguardas.</w:t>
      </w:r>
    </w:p>
    <w:p>
      <w:pPr>
        <w:spacing w:after="120" w:before="0"/>
      </w:pPr>
      <w:r>
        <w:t xml:space="preserve"/>
      </w:r>
    </w:p>
    <w:p>
      <w:pPr>
        <w:pStyle w:val="Heading1"/>
        <w:spacing w:after="160" w:before="400"/>
      </w:pPr>
      <w:r>
        <w:rPr>
          <w:rFonts w:ascii="Arial" w:cs="Arial" w:eastAsia="Arial" w:hAnsi="Arial"/>
          <w:b/>
          <w:bCs/>
          <w:color w:val="1F3A6E"/>
          <w:sz w:val="28"/>
          <w:szCs w:val="28"/>
        </w:rPr>
        <w:t xml:space="preserve">7. Fase 4 — Escala, Documentación y Cierre (Meses 10–12)</w:t>
      </w:r>
    </w:p>
    <w:p>
      <w:pPr>
        <w:pBdr>
          <w:bottom w:val="single" w:color="0D7377" w:sz="6" w:space="1"/>
        </w:pBdr>
        <w:spacing w:after="120" w:before="120"/>
      </w:pPr>
      <w:r>
        <w:t xml:space="preserve"/>
      </w:r>
    </w:p>
    <w:p>
      <w:pPr>
        <w:spacing w:after="100" w:before="60"/>
      </w:pPr>
      <w:r>
        <w:rPr>
          <w:rFonts w:ascii="Arial" w:cs="Arial" w:eastAsia="Arial" w:hAnsi="Arial"/>
          <w:color w:val="333333"/>
          <w:sz w:val="20"/>
          <w:szCs w:val="20"/>
        </w:rPr>
        <w:t xml:space="preserve">La Fase 4 consolida el sistema validado, escala el análisis al corpus completo disponible de la JEP, produce la documentación técnica final y entrega los activos institucionales.</w:t>
      </w:r>
    </w:p>
    <w:p>
      <w:pPr>
        <w:spacing w:after="60" w:before="0"/>
      </w:pPr>
      <w:r>
        <w:t xml:space="preserve"/>
      </w:r>
    </w:p>
    <w:p>
      <w:pPr>
        <w:pStyle w:val="Heading2"/>
        <w:spacing w:after="120" w:before="280"/>
      </w:pPr>
      <w:r>
        <w:rPr>
          <w:rFonts w:ascii="Arial" w:cs="Arial" w:eastAsia="Arial" w:hAnsi="Arial"/>
          <w:b/>
          <w:bCs/>
          <w:color w:val="0D7377"/>
          <w:sz w:val="24"/>
          <w:szCs w:val="24"/>
        </w:rPr>
        <w:t xml:space="preserve">7.1 Escala al corpus completo</w:t>
      </w:r>
    </w:p>
    <w:p>
      <w:pPr>
        <w:pStyle w:val="ListParagraph"/>
        <w:numPr>
          <w:ilvl w:val="0"/>
          <w:numId w:val="2"/>
        </w:numPr>
        <w:spacing w:after="60" w:before="40"/>
      </w:pPr>
      <w:r>
        <w:rPr>
          <w:rFonts w:ascii="Arial" w:cs="Arial" w:eastAsia="Arial" w:hAnsi="Arial"/>
          <w:color w:val="333333"/>
          <w:sz w:val="20"/>
          <w:szCs w:val="20"/>
        </w:rPr>
        <w:t xml:space="preserve">Procesamiento de la totalidad del corpus escrito del Macrocaso 003 disponible en formato digital.</w:t>
      </w:r>
    </w:p>
    <w:p>
      <w:pPr>
        <w:pStyle w:val="ListParagraph"/>
        <w:numPr>
          <w:ilvl w:val="0"/>
          <w:numId w:val="2"/>
        </w:numPr>
        <w:spacing w:after="60" w:before="40"/>
      </w:pPr>
      <w:r>
        <w:rPr>
          <w:rFonts w:ascii="Arial" w:cs="Arial" w:eastAsia="Arial" w:hAnsi="Arial"/>
          <w:color w:val="333333"/>
          <w:sz w:val="20"/>
          <w:szCs w:val="20"/>
        </w:rPr>
        <w:t xml:space="preserve">Procesamiento del corpus de audiencias en video con ICM tri-canal (condicionado a la validación del Componente C en Fase 3).</w:t>
      </w:r>
    </w:p>
    <w:p>
      <w:pPr>
        <w:pStyle w:val="ListParagraph"/>
        <w:numPr>
          <w:ilvl w:val="0"/>
          <w:numId w:val="2"/>
        </w:numPr>
        <w:spacing w:after="60" w:before="40"/>
      </w:pPr>
      <w:r>
        <w:rPr>
          <w:rFonts w:ascii="Arial" w:cs="Arial" w:eastAsia="Arial" w:hAnsi="Arial"/>
          <w:color w:val="333333"/>
          <w:sz w:val="20"/>
          <w:szCs w:val="20"/>
        </w:rPr>
        <w:t xml:space="preserve">Sistema de monitoreo longitudinal: DIS, IEI e ICM históricos por providencia, subcaso, tipo de actor y período procesal.</w:t>
      </w:r>
    </w:p>
    <w:p>
      <w:pPr>
        <w:pStyle w:val="ListParagraph"/>
        <w:numPr>
          <w:ilvl w:val="0"/>
          <w:numId w:val="2"/>
        </w:numPr>
        <w:spacing w:after="60" w:before="40"/>
      </w:pPr>
      <w:r>
        <w:rPr>
          <w:rFonts w:ascii="Arial" w:cs="Arial" w:eastAsia="Arial" w:hAnsi="Arial"/>
          <w:color w:val="333333"/>
          <w:sz w:val="20"/>
          <w:szCs w:val="20"/>
        </w:rPr>
        <w:t xml:space="preserve">Análisis comparativo entre subcasos, regiones y etapas procesales — incluyendo el informe de trayectoria discursiva 1994–2024 (justicia ordinaria vs. JEP).</w:t>
      </w:r>
    </w:p>
    <w:p>
      <w:pPr>
        <w:spacing w:after="60" w:before="0"/>
      </w:pPr>
      <w:r>
        <w:t xml:space="preserve"/>
      </w:r>
    </w:p>
    <w:p>
      <w:pPr>
        <w:pStyle w:val="Heading2"/>
        <w:spacing w:after="120" w:before="280"/>
      </w:pPr>
      <w:r>
        <w:rPr>
          <w:rFonts w:ascii="Arial" w:cs="Arial" w:eastAsia="Arial" w:hAnsi="Arial"/>
          <w:b/>
          <w:bCs/>
          <w:color w:val="0D7377"/>
          <w:sz w:val="24"/>
          <w:szCs w:val="24"/>
        </w:rPr>
        <w:t xml:space="preserve">7.2 Documentación técnica y transferencia</w:t>
      </w:r>
    </w:p>
    <w:p>
      <w:pPr>
        <w:pStyle w:val="ListParagraph"/>
        <w:numPr>
          <w:ilvl w:val="0"/>
          <w:numId w:val="2"/>
        </w:numPr>
        <w:spacing w:after="60" w:before="40"/>
      </w:pPr>
      <w:r>
        <w:rPr>
          <w:rFonts w:ascii="Arial" w:cs="Arial" w:eastAsia="Arial" w:hAnsi="Arial"/>
          <w:color w:val="333333"/>
          <w:sz w:val="20"/>
          <w:szCs w:val="20"/>
        </w:rPr>
        <w:t xml:space="preserve">Documentación técnica completa: metodología, código fuente, datos de muestra, protocolo de replicación y mantenimiento.</w:t>
      </w:r>
    </w:p>
    <w:p>
      <w:pPr>
        <w:pStyle w:val="ListParagraph"/>
        <w:numPr>
          <w:ilvl w:val="0"/>
          <w:numId w:val="2"/>
        </w:numPr>
        <w:spacing w:after="60" w:before="40"/>
      </w:pPr>
      <w:r>
        <w:rPr>
          <w:rFonts w:ascii="Arial" w:cs="Arial" w:eastAsia="Arial" w:hAnsi="Arial"/>
          <w:color w:val="333333"/>
          <w:sz w:val="20"/>
          <w:szCs w:val="20"/>
        </w:rPr>
        <w:t xml:space="preserve">Corpus JEP estructurado: base documental limpia, anotada y versionada — activo institucional permanente de la JEP.</w:t>
      </w:r>
    </w:p>
    <w:p>
      <w:pPr>
        <w:pStyle w:val="ListParagraph"/>
        <w:numPr>
          <w:ilvl w:val="0"/>
          <w:numId w:val="2"/>
        </w:numPr>
        <w:spacing w:after="60" w:before="40"/>
      </w:pPr>
      <w:r>
        <w:rPr>
          <w:rFonts w:ascii="Arial" w:cs="Arial" w:eastAsia="Arial" w:hAnsi="Arial"/>
          <w:color w:val="333333"/>
          <w:sz w:val="20"/>
          <w:szCs w:val="20"/>
        </w:rPr>
        <w:t xml:space="preserve">Capacitación final al equipo de monitoreo (8 h): uso del sistema, interpretación avanzada de resultados, actualización del corpus, generación de reportes.</w:t>
      </w:r>
    </w:p>
    <w:p>
      <w:pPr>
        <w:pStyle w:val="ListParagraph"/>
        <w:numPr>
          <w:ilvl w:val="0"/>
          <w:numId w:val="2"/>
        </w:numPr>
        <w:spacing w:after="60" w:before="40"/>
      </w:pPr>
      <w:r>
        <w:rPr>
          <w:rFonts w:ascii="Arial" w:cs="Arial" w:eastAsia="Arial" w:hAnsi="Arial"/>
          <w:color w:val="333333"/>
          <w:sz w:val="20"/>
          <w:szCs w:val="20"/>
        </w:rPr>
        <w:t xml:space="preserve">Artículo académico: publicación de resultados del sistema en revista indexada en inglés (previsto para envío en Mes 12).</w:t>
      </w:r>
    </w:p>
    <w:p>
      <w:pPr>
        <w:pStyle w:val="ListParagraph"/>
        <w:numPr>
          <w:ilvl w:val="0"/>
          <w:numId w:val="2"/>
        </w:numPr>
        <w:spacing w:after="60" w:before="40"/>
      </w:pPr>
      <w:r>
        <w:rPr>
          <w:rFonts w:ascii="Arial" w:cs="Arial" w:eastAsia="Arial" w:hAnsi="Arial"/>
          <w:color w:val="333333"/>
          <w:sz w:val="20"/>
          <w:szCs w:val="20"/>
        </w:rPr>
        <w:t xml:space="preserve">Cumplimiento Directiva 007/2025: registros de auditoría de cada análisis realizado; documentación para reporte anual al Ministerio Público.</w:t>
      </w:r>
    </w:p>
    <w:p>
      <w:pPr>
        <w:spacing w:after="60" w:before="0"/>
      </w:pPr>
      <w:r>
        <w:t xml:space="preserve"/>
      </w:r>
    </w:p>
    <w:p>
      <w:pPr>
        <w:pStyle w:val="Heading2"/>
        <w:spacing w:after="120" w:before="280"/>
      </w:pPr>
      <w:r>
        <w:rPr>
          <w:rFonts w:ascii="Arial" w:cs="Arial" w:eastAsia="Arial" w:hAnsi="Arial"/>
          <w:b/>
          <w:bCs/>
          <w:color w:val="0D7377"/>
          <w:sz w:val="24"/>
          <w:szCs w:val="24"/>
        </w:rPr>
        <w:t xml:space="preserve">7.3 Entregables de la Fase 4</w:t>
      </w:r>
    </w:p>
    <w:p>
      <w:pPr>
        <w:pStyle w:val="ListParagraph"/>
        <w:numPr>
          <w:ilvl w:val="0"/>
          <w:numId w:val="2"/>
        </w:numPr>
        <w:spacing w:after="60" w:before="40"/>
      </w:pPr>
      <w:r>
        <w:rPr>
          <w:rFonts w:ascii="Arial" w:cs="Arial" w:eastAsia="Arial" w:hAnsi="Arial"/>
          <w:color w:val="333333"/>
          <w:sz w:val="20"/>
          <w:szCs w:val="20"/>
        </w:rPr>
        <w:t xml:space="preserve">Sistema de monitoreo longitudinal completo (Mes 11): corpus procesado + Dashboard CFH-Monitor v2 en producción.</w:t>
      </w:r>
    </w:p>
    <w:p>
      <w:pPr>
        <w:pStyle w:val="ListParagraph"/>
        <w:numPr>
          <w:ilvl w:val="0"/>
          <w:numId w:val="2"/>
        </w:numPr>
        <w:spacing w:after="60" w:before="40"/>
      </w:pPr>
      <w:r>
        <w:rPr>
          <w:rFonts w:ascii="Arial" w:cs="Arial" w:eastAsia="Arial" w:hAnsi="Arial"/>
          <w:color w:val="333333"/>
          <w:sz w:val="20"/>
          <w:szCs w:val="20"/>
        </w:rPr>
        <w:t xml:space="preserve">Documentación técnica completa (Mes 12): metodología + código + datos de muestra + protocolo de replicación.</w:t>
      </w:r>
    </w:p>
    <w:p>
      <w:pPr>
        <w:pStyle w:val="ListParagraph"/>
        <w:numPr>
          <w:ilvl w:val="0"/>
          <w:numId w:val="2"/>
        </w:numPr>
        <w:spacing w:after="60" w:before="40"/>
      </w:pPr>
      <w:r>
        <w:rPr>
          <w:rFonts w:ascii="Arial" w:cs="Arial" w:eastAsia="Arial" w:hAnsi="Arial"/>
          <w:color w:val="333333"/>
          <w:sz w:val="20"/>
          <w:szCs w:val="20"/>
        </w:rPr>
        <w:t xml:space="preserve">Informe de cierre de consultoría (Mes 12): síntesis de resultados, recomendaciones de uso sostenido y hoja de ruta para expansión a otros macrocasos.</w:t>
      </w:r>
    </w:p>
    <w:p>
      <w:pPr>
        <w:pStyle w:val="ListParagraph"/>
        <w:numPr>
          <w:ilvl w:val="0"/>
          <w:numId w:val="2"/>
        </w:numPr>
        <w:spacing w:after="60" w:before="40"/>
      </w:pPr>
      <w:r>
        <w:rPr>
          <w:rFonts w:ascii="Arial" w:cs="Arial" w:eastAsia="Arial" w:hAnsi="Arial"/>
          <w:color w:val="333333"/>
          <w:sz w:val="20"/>
          <w:szCs w:val="20"/>
        </w:rPr>
        <w:t xml:space="preserve">Artículo académico (envío Mes 12): publicación de resultados CFH-JEP en revista indexada.</w:t>
      </w:r>
    </w:p>
    <w:p>
      <w:pPr>
        <w:spacing w:after="120" w:before="0"/>
      </w:pPr>
      <w:r>
        <w:t xml:space="preserve"/>
      </w:r>
    </w:p>
    <w:p>
      <w:pPr>
        <w:pStyle w:val="Heading1"/>
        <w:spacing w:after="160" w:before="400"/>
      </w:pPr>
      <w:r>
        <w:rPr>
          <w:rFonts w:ascii="Arial" w:cs="Arial" w:eastAsia="Arial" w:hAnsi="Arial"/>
          <w:b/>
          <w:bCs/>
          <w:color w:val="1F3A6E"/>
          <w:sz w:val="28"/>
          <w:szCs w:val="28"/>
        </w:rPr>
        <w:t xml:space="preserve">8. Cronograma de Implementación</w:t>
      </w:r>
    </w:p>
    <w:p>
      <w:pPr>
        <w:pBdr>
          <w:bottom w:val="single" w:color="0D7377" w:sz="6" w:space="1"/>
        </w:pBdr>
        <w:spacing w:after="120" w:before="12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600"/>
        <w:gridCol w:w="600"/>
        <w:gridCol w:w="600"/>
        <w:gridCol w:w="600"/>
        <w:gridCol w:w="600"/>
        <w:gridCol w:w="600"/>
        <w:gridCol w:w="600"/>
        <w:gridCol w:w="600"/>
        <w:gridCol w:w="600"/>
        <w:gridCol w:w="600"/>
        <w:gridCol w:w="600"/>
        <w:gridCol w:w="560"/>
      </w:tblGrid>
      <w:tr>
        <w:trPr>
          <w:tblHeader/>
        </w:trPr>
        <w:tc>
          <w:tcPr>
            <w:tcW w:type="dxa" w:w="22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Actividad / Entregable</w:t>
            </w:r>
          </w:p>
        </w:tc>
        <w:tc>
          <w:tcPr>
            <w:tcW w:type="dxa" w:w="6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M1</w:t>
            </w:r>
          </w:p>
        </w:tc>
        <w:tc>
          <w:tcPr>
            <w:tcW w:type="dxa" w:w="6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M2</w:t>
            </w:r>
          </w:p>
        </w:tc>
        <w:tc>
          <w:tcPr>
            <w:tcW w:type="dxa" w:w="6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M3</w:t>
            </w:r>
          </w:p>
        </w:tc>
        <w:tc>
          <w:tcPr>
            <w:tcW w:type="dxa" w:w="6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M4</w:t>
            </w:r>
          </w:p>
        </w:tc>
        <w:tc>
          <w:tcPr>
            <w:tcW w:type="dxa" w:w="6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M5</w:t>
            </w:r>
          </w:p>
        </w:tc>
        <w:tc>
          <w:tcPr>
            <w:tcW w:type="dxa" w:w="6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M6</w:t>
            </w:r>
          </w:p>
        </w:tc>
        <w:tc>
          <w:tcPr>
            <w:tcW w:type="dxa" w:w="6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M7</w:t>
            </w:r>
          </w:p>
        </w:tc>
        <w:tc>
          <w:tcPr>
            <w:tcW w:type="dxa" w:w="6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M8</w:t>
            </w:r>
          </w:p>
        </w:tc>
        <w:tc>
          <w:tcPr>
            <w:tcW w:type="dxa" w:w="6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M9</w:t>
            </w:r>
          </w:p>
        </w:tc>
        <w:tc>
          <w:tcPr>
            <w:tcW w:type="dxa" w:w="6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M10</w:t>
            </w:r>
          </w:p>
        </w:tc>
        <w:tc>
          <w:tcPr>
            <w:tcW w:type="dxa" w:w="6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M11</w:t>
            </w:r>
          </w:p>
        </w:tc>
        <w:tc>
          <w:tcPr>
            <w:tcW w:type="dxa" w:w="6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M12</w:t>
            </w:r>
          </w:p>
        </w:tc>
        <w:tc>
          <w:tcPr>
            <w:tcW w:type="dxa" w:w="56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Ob.</w:t>
            </w:r>
          </w:p>
        </w:tc>
      </w:tr>
      <w:tr>
        <w:tc>
          <w:tcPr>
            <w:tcW w:type="dxa" w:w="22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bCs/>
                <w:color w:val="1F3A6E"/>
                <w:sz w:val="18"/>
                <w:szCs w:val="18"/>
              </w:rPr>
              <w:t xml:space="preserve">FASE 0 — Diagnóstico y gobernanza</w:t>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5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Diagnóstico corpus y gobernanza</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5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O6</w:t>
            </w:r>
          </w:p>
        </w:tc>
      </w:tr>
      <w:tr>
        <w:tc>
          <w:tcPr>
            <w:tcW w:type="dxa" w:w="22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bCs/>
                <w:color w:val="1F3A6E"/>
                <w:sz w:val="18"/>
                <w:szCs w:val="18"/>
              </w:rPr>
              <w:t xml:space="preserve">FASE 1 — Metodología e indicadores</w:t>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5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Manual metodológico v1</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5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O1</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Batería de indicadores documentada</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5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O2</w:t>
            </w:r>
          </w:p>
        </w:tc>
      </w:tr>
      <w:tr>
        <w:tc>
          <w:tcPr>
            <w:tcW w:type="dxa" w:w="22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bCs/>
                <w:color w:val="1F3A6E"/>
                <w:sz w:val="18"/>
                <w:szCs w:val="18"/>
              </w:rPr>
              <w:t xml:space="preserve">FASE 2 — Herramienta tecnológica</w:t>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5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Sistema RAG institucional</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5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O3,O7</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CFH-BERT v3 (κ&gt;0.80, n=500)</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5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O4</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Pipeline automatizado + Dashboard v1</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5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O3,O7</w:t>
            </w:r>
          </w:p>
        </w:tc>
      </w:tr>
      <w:tr>
        <w:tc>
          <w:tcPr>
            <w:tcW w:type="dxa" w:w="22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bCs/>
                <w:color w:val="1F3A6E"/>
                <w:sz w:val="18"/>
                <w:szCs w:val="18"/>
              </w:rPr>
              <w:t xml:space="preserve">FASE 3 — Validación y pilotos</w:t>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5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Planes piloto P1, P2, P3</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5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O8</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Validación participativa (talleres, co-valid.)</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5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O5</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Validación perceptual ICM + ajuste modelos</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5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O4</w:t>
            </w:r>
          </w:p>
        </w:tc>
      </w:tr>
      <w:tr>
        <w:tc>
          <w:tcPr>
            <w:tcW w:type="dxa" w:w="22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bCs/>
                <w:color w:val="1F3A6E"/>
                <w:sz w:val="18"/>
                <w:szCs w:val="18"/>
              </w:rPr>
              <w:t xml:space="preserve">FASE 4 — Escala y cierre</w:t>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c>
          <w:tcPr>
            <w:tcW w:type="dxa" w:w="5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b w:val="false"/>
                <w:bCs w:val="false"/>
                <w:color w:val="333333"/>
                <w:sz w:val="18"/>
                <w:szCs w:val="18"/>
              </w:rPr>
              <w:t xml:space="preserve"/>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Escala corpus completo + monitoreo longitudinal</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5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O3,O7</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Documentación técnica + capacitación final</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5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O5</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Informe de cierre + artículo académico</w:t>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
            </w:r>
          </w:p>
        </w:tc>
        <w:tc>
          <w:tcPr>
            <w:tcW w:type="dxa" w:w="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w:t>
            </w:r>
          </w:p>
        </w:tc>
        <w:tc>
          <w:tcPr>
            <w:tcW w:type="dxa" w:w="5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O1-O8</w:t>
            </w:r>
          </w:p>
        </w:tc>
      </w:tr>
    </w:tbl>
    <w:p>
      <w:pPr>
        <w:spacing w:after="120" w:before="0"/>
      </w:pPr>
      <w:r>
        <w:t xml:space="preserve"/>
      </w:r>
    </w:p>
    <w:p>
      <w:pPr>
        <w:pStyle w:val="Heading1"/>
        <w:spacing w:after="160" w:before="400"/>
      </w:pPr>
      <w:r>
        <w:rPr>
          <w:rFonts w:ascii="Arial" w:cs="Arial" w:eastAsia="Arial" w:hAnsi="Arial"/>
          <w:b/>
          <w:bCs/>
          <w:color w:val="1F3A6E"/>
          <w:sz w:val="28"/>
          <w:szCs w:val="28"/>
        </w:rPr>
        <w:t xml:space="preserve">9. Salvaguardas, Gobernanza y Cumplimiento Normativo</w:t>
      </w:r>
    </w:p>
    <w:p>
      <w:pPr>
        <w:pBdr>
          <w:bottom w:val="single" w:color="0D7377" w:sz="6" w:space="1"/>
        </w:pBdr>
        <w:spacing w:after="120" w:before="120"/>
      </w:pPr>
      <w:r>
        <w:t xml:space="preserve"/>
      </w:r>
    </w:p>
    <w:p>
      <w:pPr>
        <w:spacing w:after="100" w:before="60"/>
      </w:pPr>
      <w:r>
        <w:rPr>
          <w:rFonts w:ascii="Arial" w:cs="Arial" w:eastAsia="Arial" w:hAnsi="Arial"/>
          <w:color w:val="333333"/>
          <w:sz w:val="20"/>
          <w:szCs w:val="20"/>
        </w:rPr>
        <w:t xml:space="preserve">El framework CFH incorpora límites epistemológicos y salvaguardas éticas explícitas que son condición de su uso responsable en un contexto judicial de alta sensibilidad.</w:t>
      </w:r>
    </w:p>
    <w:p>
      <w:pPr>
        <w:spacing w:after="60" w:before="0"/>
      </w:pPr>
      <w:r>
        <w:t xml:space="preserve"/>
      </w:r>
    </w:p>
    <w:p>
      <w:pPr>
        <w:pStyle w:val="Heading2"/>
        <w:spacing w:after="120" w:before="280"/>
      </w:pPr>
      <w:r>
        <w:rPr>
          <w:rFonts w:ascii="Arial" w:cs="Arial" w:eastAsia="Arial" w:hAnsi="Arial"/>
          <w:b/>
          <w:bCs/>
          <w:color w:val="0D7377"/>
          <w:sz w:val="24"/>
          <w:szCs w:val="24"/>
        </w:rPr>
        <w:t xml:space="preserve">9.1 Límites del sistema — lo que CFH no hace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2"/>
              <w:bottom w:val="single" w:color="0D7377" w:sz="1"/>
              <w:right w:val="single" w:color="0D7377" w:sz="1"/>
            </w:tcBorders>
            <w:shd w:fill="E8F4F8" w:val="clear"/>
            <w:tcMar>
              <w:top w:type="dxa" w:w="120"/>
              <w:left w:type="dxa" w:w="200"/>
              <w:bottom w:type="dxa" w:w="120"/>
              <w:right w:type="dxa" w:w="200"/>
            </w:tcMar>
          </w:tcPr>
          <w:p>
            <w:r>
              <w:rPr>
                <w:rFonts w:ascii="Arial" w:cs="Arial" w:eastAsia="Arial" w:hAnsi="Arial"/>
                <w:b w:val="false"/>
                <w:bCs w:val="false"/>
                <w:color w:val="1F3A6E"/>
                <w:sz w:val="20"/>
                <w:szCs w:val="20"/>
              </w:rPr>
              <w:t xml:space="preserve">El sistema CFH/ICM no diagnostica estados emocionales o psicológicos de comparecientes individuales, no produce evidencia judicial admisible, no toma ni recomienda decisiones judiciales, y no infiere sinceridad o autenticidad psicológica. Mide patrones discursivos a nivel de corpus y coherencia entre canales comunicativos — no estados internos.</w:t>
            </w:r>
          </w:p>
        </w:tc>
      </w:tr>
    </w:tbl>
    <w:p>
      <w:pPr>
        <w:spacing w:after="60" w:before="0"/>
      </w:pPr>
      <w:r>
        <w:t xml:space="preserve"/>
      </w:r>
    </w:p>
    <w:p>
      <w:pPr>
        <w:pStyle w:val="Heading2"/>
        <w:spacing w:after="120" w:before="280"/>
      </w:pPr>
      <w:r>
        <w:rPr>
          <w:rFonts w:ascii="Arial" w:cs="Arial" w:eastAsia="Arial" w:hAnsi="Arial"/>
          <w:b/>
          <w:bCs/>
          <w:color w:val="0D7377"/>
          <w:sz w:val="24"/>
          <w:szCs w:val="24"/>
        </w:rPr>
        <w:t xml:space="preserve">9.2 Marco normativo de cumplimiento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560"/>
        <w:gridCol w:w="3200"/>
      </w:tblGrid>
      <w:tr>
        <w:trPr>
          <w:tblHeader/>
        </w:trPr>
        <w:tc>
          <w:tcPr>
            <w:tcW w:type="dxa" w:w="30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Marco normativo</w:t>
            </w:r>
          </w:p>
        </w:tc>
        <w:tc>
          <w:tcPr>
            <w:tcW w:type="dxa" w:w="16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Cumplimiento actual</w:t>
            </w:r>
          </w:p>
        </w:tc>
        <w:tc>
          <w:tcPr>
            <w:tcW w:type="dxa" w:w="156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Proyectado (post-F0)</w:t>
            </w:r>
          </w:p>
        </w:tc>
        <w:tc>
          <w:tcPr>
            <w:tcW w:type="dxa" w:w="32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Acciones en curso</w:t>
            </w:r>
          </w:p>
        </w:tc>
      </w:tr>
      <w:tr>
        <w:tc>
          <w:tcPr>
            <w:tcW w:type="dxa" w:w="30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Ley 1581/2012 — Colombia</w:t>
            </w:r>
          </w:p>
        </w:tc>
        <w:tc>
          <w:tcPr>
            <w:tcW w:type="dxa" w:w="1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69%</w:t>
            </w:r>
          </w:p>
        </w:tc>
        <w:tc>
          <w:tcPr>
            <w:tcW w:type="dxa" w:w="15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~85%</w:t>
            </w:r>
          </w:p>
        </w:tc>
        <w:tc>
          <w:tcPr>
            <w:tcW w:type="dxa" w:w="32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DPIA formal + aval Comité Ética Externado</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Directiva Conjunta 007/2025 (Procuraduría/Defensoría)</w:t>
            </w:r>
          </w:p>
        </w:tc>
        <w:tc>
          <w:tcPr>
            <w:tcW w:type="dxa" w:w="1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Diseñado para cumplimiento íntegro</w:t>
            </w:r>
          </w:p>
        </w:tc>
        <w:tc>
          <w:tcPr>
            <w:tcW w:type="dxa" w:w="15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100%</w:t>
            </w:r>
          </w:p>
        </w:tc>
        <w:tc>
          <w:tcPr>
            <w:tcW w:type="dxa" w:w="32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Transparencia algorítmica, canal de cuestionamiento, registros de auditoría</w:t>
            </w:r>
          </w:p>
        </w:tc>
      </w:tr>
      <w:tr>
        <w:tc>
          <w:tcPr>
            <w:tcW w:type="dxa" w:w="30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EU AI Act (referencia técnica)</w:t>
            </w:r>
          </w:p>
        </w:tc>
        <w:tc>
          <w:tcPr>
            <w:tcW w:type="dxa" w:w="1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89%</w:t>
            </w:r>
          </w:p>
        </w:tc>
        <w:tc>
          <w:tcPr>
            <w:tcW w:type="dxa" w:w="15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~95%</w:t>
            </w:r>
          </w:p>
        </w:tc>
        <w:tc>
          <w:tcPr>
            <w:tcW w:type="dxa" w:w="32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Test adversarial básico pendiente</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NIST AI RMF 1.0</w:t>
            </w:r>
          </w:p>
        </w:tc>
        <w:tc>
          <w:tcPr>
            <w:tcW w:type="dxa" w:w="1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95%</w:t>
            </w:r>
          </w:p>
        </w:tc>
        <w:tc>
          <w:tcPr>
            <w:tcW w:type="dxa" w:w="15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~97%</w:t>
            </w:r>
          </w:p>
        </w:tc>
        <w:tc>
          <w:tcPr>
            <w:tcW w:type="dxa" w:w="32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Auditoría intersectional Gender Shades</w:t>
            </w:r>
          </w:p>
        </w:tc>
      </w:tr>
      <w:tr>
        <w:tc>
          <w:tcPr>
            <w:tcW w:type="dxa" w:w="30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Toronto Declaration</w:t>
            </w:r>
          </w:p>
        </w:tc>
        <w:tc>
          <w:tcPr>
            <w:tcW w:type="dxa" w:w="1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83%</w:t>
            </w:r>
          </w:p>
        </w:tc>
        <w:tc>
          <w:tcPr>
            <w:tcW w:type="dxa" w:w="15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~92%</w:t>
            </w:r>
          </w:p>
        </w:tc>
        <w:tc>
          <w:tcPr>
            <w:tcW w:type="dxa" w:w="32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Inclusión comunitaria en diseño (Fase 3)</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UNESCO Recomendación IA 2021</w:t>
            </w:r>
          </w:p>
        </w:tc>
        <w:tc>
          <w:tcPr>
            <w:tcW w:type="dxa" w:w="1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78%</w:t>
            </w:r>
          </w:p>
        </w:tc>
        <w:tc>
          <w:tcPr>
            <w:tcW w:type="dxa" w:w="15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~88%</w:t>
            </w:r>
          </w:p>
        </w:tc>
        <w:tc>
          <w:tcPr>
            <w:tcW w:type="dxa" w:w="32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Validación participativa MAFAPO (Fase 3)</w:t>
            </w:r>
          </w:p>
        </w:tc>
      </w:tr>
    </w:tbl>
    <w:p>
      <w:pPr>
        <w:spacing w:after="120" w:before="0"/>
      </w:pPr>
      <w:r>
        <w:t xml:space="preserve"/>
      </w:r>
    </w:p>
    <w:p>
      <w:pPr>
        <w:pStyle w:val="Heading1"/>
        <w:spacing w:after="160" w:before="400"/>
      </w:pPr>
      <w:r>
        <w:rPr>
          <w:rFonts w:ascii="Arial" w:cs="Arial" w:eastAsia="Arial" w:hAnsi="Arial"/>
          <w:b/>
          <w:bCs/>
          <w:color w:val="1F3A6E"/>
          <w:sz w:val="28"/>
          <w:szCs w:val="28"/>
        </w:rPr>
        <w:t xml:space="preserve">10. Síntesis de Entregables por Obligación</w:t>
      </w:r>
    </w:p>
    <w:p>
      <w:pPr>
        <w:pBdr>
          <w:bottom w:val="single" w:color="0D7377" w:sz="6" w:space="1"/>
        </w:pBdr>
        <w:spacing w:after="120" w:before="12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560"/>
        <w:gridCol w:w="1700"/>
        <w:gridCol w:w="1600"/>
      </w:tblGrid>
      <w:tr>
        <w:trPr>
          <w:tblHeader/>
        </w:trPr>
        <w:tc>
          <w:tcPr>
            <w:tcW w:type="dxa" w:w="5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w:t>
            </w:r>
          </w:p>
        </w:tc>
        <w:tc>
          <w:tcPr>
            <w:tcW w:type="dxa" w:w="20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Obligación</w:t>
            </w:r>
          </w:p>
        </w:tc>
        <w:tc>
          <w:tcPr>
            <w:tcW w:type="dxa" w:w="356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Entregables principales</w:t>
            </w:r>
          </w:p>
        </w:tc>
        <w:tc>
          <w:tcPr>
            <w:tcW w:type="dxa" w:w="17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Fase</w:t>
            </w:r>
          </w:p>
        </w:tc>
        <w:tc>
          <w:tcPr>
            <w:tcW w:type="dxa" w:w="1600"/>
            <w:tcBorders>
              <w:top w:val="single" w:color="1F3A6E" w:sz="1"/>
              <w:left w:val="single" w:color="1F3A6E" w:sz="1"/>
              <w:bottom w:val="single" w:color="1F3A6E" w:sz="1"/>
              <w:right w:val="single" w:color="1F3A6E" w:sz="1"/>
            </w:tcBorders>
            <w:shd w:fill="1F3A6E" w:val="clear"/>
            <w:tcMar>
              <w:top w:type="dxa" w:w="100"/>
              <w:left w:type="dxa" w:w="150"/>
              <w:bottom w:type="dxa" w:w="100"/>
              <w:right w:type="dxa" w:w="150"/>
            </w:tcMar>
          </w:tcPr>
          <w:p>
            <w:r>
              <w:rPr>
                <w:rFonts w:ascii="Arial" w:cs="Arial" w:eastAsia="Arial" w:hAnsi="Arial"/>
                <w:b/>
                <w:bCs/>
                <w:color w:val="FFFFFF"/>
                <w:sz w:val="18"/>
                <w:szCs w:val="18"/>
              </w:rPr>
              <w:t xml:space="preserve">Mes de entrega</w:t>
            </w:r>
          </w:p>
        </w:tc>
      </w:tr>
      <w:tr>
        <w:tc>
          <w:tcPr>
            <w:tcW w:type="dxa" w:w="5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O1</w:t>
            </w:r>
          </w:p>
        </w:tc>
        <w:tc>
          <w:tcPr>
            <w:tcW w:type="dxa" w:w="20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Metodología interdisciplinaria</w:t>
            </w:r>
          </w:p>
        </w:tc>
        <w:tc>
          <w:tcPr>
            <w:tcW w:type="dxa" w:w="35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Manual metodológico v1; informe de alineación normativa; protocolo de actualización</w:t>
            </w:r>
          </w:p>
        </w:tc>
        <w:tc>
          <w:tcPr>
            <w:tcW w:type="dxa" w:w="17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F1</w:t>
            </w:r>
          </w:p>
        </w:tc>
        <w:tc>
          <w:tcPr>
            <w:tcW w:type="dxa" w:w="1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Mes 4</w:t>
            </w:r>
          </w:p>
        </w:tc>
      </w:tr>
      <w:tr>
        <w:tc>
          <w:tcPr>
            <w:tcW w:type="dxa" w:w="5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O2</w:t>
            </w:r>
          </w:p>
        </w:tc>
        <w:tc>
          <w:tcPr>
            <w:tcW w:type="dxa" w:w="20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Batería de indicadores</w:t>
            </w:r>
          </w:p>
        </w:tc>
        <w:tc>
          <w:tcPr>
            <w:tcW w:type="dxa" w:w="35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Batería documentada (fichas técnicas y₁–y₁₀, DIS, IEI); protocolo de codificación</w:t>
            </w:r>
          </w:p>
        </w:tc>
        <w:tc>
          <w:tcPr>
            <w:tcW w:type="dxa" w:w="17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F1</w:t>
            </w:r>
          </w:p>
        </w:tc>
        <w:tc>
          <w:tcPr>
            <w:tcW w:type="dxa" w:w="1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Mes 4</w:t>
            </w:r>
          </w:p>
        </w:tc>
      </w:tr>
      <w:tr>
        <w:tc>
          <w:tcPr>
            <w:tcW w:type="dxa" w:w="5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O3</w:t>
            </w:r>
          </w:p>
        </w:tc>
        <w:tc>
          <w:tcPr>
            <w:tcW w:type="dxa" w:w="20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Herramienta tecnológica IA</w:t>
            </w:r>
          </w:p>
        </w:tc>
        <w:tc>
          <w:tcPr>
            <w:tcW w:type="dxa" w:w="35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Sistema RAG + Dashboard CFH-Monitor v2; módulo de generación de recomendaciones</w:t>
            </w:r>
          </w:p>
        </w:tc>
        <w:tc>
          <w:tcPr>
            <w:tcW w:type="dxa" w:w="17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F2–F4</w:t>
            </w:r>
          </w:p>
        </w:tc>
        <w:tc>
          <w:tcPr>
            <w:tcW w:type="dxa" w:w="1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Mes 7 / Mes 11</w:t>
            </w:r>
          </w:p>
        </w:tc>
      </w:tr>
      <w:tr>
        <w:tc>
          <w:tcPr>
            <w:tcW w:type="dxa" w:w="5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O4</w:t>
            </w:r>
          </w:p>
        </w:tc>
        <w:tc>
          <w:tcPr>
            <w:tcW w:type="dxa" w:w="20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Validación y mejora continua</w:t>
            </w:r>
          </w:p>
        </w:tc>
        <w:tc>
          <w:tcPr>
            <w:tcW w:type="dxa" w:w="35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Reportes de calibración; paper validación ICM; Model Cards; informe equidad intersectional</w:t>
            </w:r>
          </w:p>
        </w:tc>
        <w:tc>
          <w:tcPr>
            <w:tcW w:type="dxa" w:w="17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F2–F3</w:t>
            </w:r>
          </w:p>
        </w:tc>
        <w:tc>
          <w:tcPr>
            <w:tcW w:type="dxa" w:w="1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Mes 9</w:t>
            </w:r>
          </w:p>
        </w:tc>
      </w:tr>
      <w:tr>
        <w:tc>
          <w:tcPr>
            <w:tcW w:type="dxa" w:w="5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O5</w:t>
            </w:r>
          </w:p>
        </w:tc>
        <w:tc>
          <w:tcPr>
            <w:tcW w:type="dxa" w:w="20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Participación y apropiación</w:t>
            </w:r>
          </w:p>
        </w:tc>
        <w:tc>
          <w:tcPr>
            <w:tcW w:type="dxa" w:w="35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Protocolo participativo; registros de talleres y co-validación; informe de recomendaciones de adopción; capacitación</w:t>
            </w:r>
          </w:p>
        </w:tc>
        <w:tc>
          <w:tcPr>
            <w:tcW w:type="dxa" w:w="17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F3–F4</w:t>
            </w:r>
          </w:p>
        </w:tc>
        <w:tc>
          <w:tcPr>
            <w:tcW w:type="dxa" w:w="1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Mes 10–12</w:t>
            </w:r>
          </w:p>
        </w:tc>
      </w:tr>
      <w:tr>
        <w:tc>
          <w:tcPr>
            <w:tcW w:type="dxa" w:w="5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O6</w:t>
            </w:r>
          </w:p>
        </w:tc>
        <w:tc>
          <w:tcPr>
            <w:tcW w:type="dxa" w:w="20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Diagnóstico de datos</w:t>
            </w:r>
          </w:p>
        </w:tc>
        <w:tc>
          <w:tcPr>
            <w:tcW w:type="dxa" w:w="35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Informe diagnóstico de calidad del corpus; plan de depuración; corpus JEP estructurado</w:t>
            </w:r>
          </w:p>
        </w:tc>
        <w:tc>
          <w:tcPr>
            <w:tcW w:type="dxa" w:w="17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F0</w:t>
            </w:r>
          </w:p>
        </w:tc>
        <w:tc>
          <w:tcPr>
            <w:tcW w:type="dxa" w:w="1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Mes 1</w:t>
            </w:r>
          </w:p>
        </w:tc>
      </w:tr>
      <w:tr>
        <w:tc>
          <w:tcPr>
            <w:tcW w:type="dxa" w:w="5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O7</w:t>
            </w:r>
          </w:p>
        </w:tc>
        <w:tc>
          <w:tcPr>
            <w:tcW w:type="dxa" w:w="20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Automatización tecnológica</w:t>
            </w:r>
          </w:p>
        </w:tc>
        <w:tc>
          <w:tcPr>
            <w:tcW w:type="dxa" w:w="356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Pipeline automatizado documentado; repositorio reproducible; protocolo de gobernanza de datos</w:t>
            </w:r>
          </w:p>
        </w:tc>
        <w:tc>
          <w:tcPr>
            <w:tcW w:type="dxa" w:w="17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F2</w:t>
            </w:r>
          </w:p>
        </w:tc>
        <w:tc>
          <w:tcPr>
            <w:tcW w:type="dxa" w:w="1600"/>
            <w:tcBorders>
              <w:top w:val="single" w:color="D0D7E3" w:sz="1"/>
              <w:left w:val="single" w:color="D0D7E3" w:sz="1"/>
              <w:bottom w:val="single" w:color="D0D7E3" w:sz="1"/>
              <w:right w:val="single" w:color="D0D7E3" w:sz="1"/>
            </w:tcBorders>
            <w:shd w:fill="F2F4F7" w:val="clear"/>
            <w:tcMar>
              <w:top w:type="dxa" w:w="80"/>
              <w:left w:type="dxa" w:w="150"/>
              <w:bottom w:type="dxa" w:w="80"/>
              <w:right w:type="dxa" w:w="150"/>
            </w:tcMar>
          </w:tcPr>
          <w:p>
            <w:r>
              <w:rPr>
                <w:rFonts w:ascii="Arial" w:cs="Arial" w:eastAsia="Arial" w:hAnsi="Arial"/>
                <w:color w:val="333333"/>
                <w:sz w:val="18"/>
                <w:szCs w:val="18"/>
              </w:rPr>
              <w:t xml:space="preserve">Mes 7</w:t>
            </w:r>
          </w:p>
        </w:tc>
      </w:tr>
      <w:tr>
        <w:tc>
          <w:tcPr>
            <w:tcW w:type="dxa" w:w="5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O8</w:t>
            </w:r>
          </w:p>
        </w:tc>
        <w:tc>
          <w:tcPr>
            <w:tcW w:type="dxa" w:w="20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Validación de automatización (pilotos)</w:t>
            </w:r>
          </w:p>
        </w:tc>
        <w:tc>
          <w:tcPr>
            <w:tcW w:type="dxa" w:w="356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Reportes P1 (Dabeiba), P2 (Huila), P3 (Catatumbo); ajuste de modelos post-piloto</w:t>
            </w:r>
          </w:p>
        </w:tc>
        <w:tc>
          <w:tcPr>
            <w:tcW w:type="dxa" w:w="17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F3</w:t>
            </w:r>
          </w:p>
        </w:tc>
        <w:tc>
          <w:tcPr>
            <w:tcW w:type="dxa" w:w="1600"/>
            <w:tcBorders>
              <w:top w:val="single" w:color="D0D7E3" w:sz="1"/>
              <w:left w:val="single" w:color="D0D7E3" w:sz="1"/>
              <w:bottom w:val="single" w:color="D0D7E3" w:sz="1"/>
              <w:right w:val="single" w:color="D0D7E3" w:sz="1"/>
            </w:tcBorders>
            <w:shd w:fill="FFFFFF" w:val="clear"/>
            <w:tcMar>
              <w:top w:type="dxa" w:w="80"/>
              <w:left w:type="dxa" w:w="150"/>
              <w:bottom w:type="dxa" w:w="80"/>
              <w:right w:type="dxa" w:w="150"/>
            </w:tcMar>
          </w:tcPr>
          <w:p>
            <w:r>
              <w:rPr>
                <w:rFonts w:ascii="Arial" w:cs="Arial" w:eastAsia="Arial" w:hAnsi="Arial"/>
                <w:color w:val="333333"/>
                <w:sz w:val="18"/>
                <w:szCs w:val="18"/>
              </w:rPr>
              <w:t xml:space="preserve">Mes 10</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2"/>
              <w:bottom w:val="single" w:color="0D7377" w:sz="1"/>
              <w:right w:val="single" w:color="0D7377" w:sz="1"/>
            </w:tcBorders>
            <w:shd w:fill="F2F4F7" w:val="clear"/>
            <w:tcMar>
              <w:top w:type="dxa" w:w="120"/>
              <w:left w:type="dxa" w:w="200"/>
              <w:bottom w:type="dxa" w:w="120"/>
              <w:right w:type="dxa" w:w="200"/>
            </w:tcMar>
          </w:tcPr>
          <w:p>
            <w:r>
              <w:rPr>
                <w:rFonts w:ascii="Arial" w:cs="Arial" w:eastAsia="Arial" w:hAnsi="Arial"/>
                <w:b w:val="false"/>
                <w:bCs w:val="false"/>
                <w:color w:val="1F3A6E"/>
                <w:sz w:val="20"/>
                <w:szCs w:val="20"/>
              </w:rPr>
              <w:t xml:space="preserve">La propuesta que aquí se presenta no parte de cero: el framework CFH aporta tres años de desarrollo metodológico validado empíricamente, modelos de lenguaje fine-tuned sobre el corpus específico de falsos positivos, resultados estadísticamente significativos sobre 300+ documentos y 38 horas de audiencias, y un corpus de referencia normativa (MAFAPO + CIDH) construido con y para las organizaciones de víctimas del Macrocaso 003. Esto permite concentrar el tiempo de consultoría en la adaptación, validación participativa y escala — no en el diseño desde cero.</w:t>
            </w:r>
          </w:p>
        </w:tc>
      </w:tr>
    </w:tbl>
    <w:p>
      <w:pPr>
        <w:spacing w:after="60" w:before="0"/>
      </w:pPr>
      <w:r>
        <w:t xml:space="preserve"/>
      </w:r>
    </w:p>
    <w:p>
      <w:pPr>
        <w:spacing w:after="80" w:before="200"/>
        <w:jc w:val="center"/>
      </w:pPr>
      <w:r>
        <w:rPr>
          <w:rFonts w:ascii="Arial" w:cs="Arial" w:eastAsia="Arial" w:hAnsi="Arial"/>
          <w:b/>
          <w:bCs/>
          <w:color w:val="1F3A6E"/>
          <w:sz w:val="20"/>
          <w:szCs w:val="20"/>
        </w:rPr>
        <w:t xml:space="preserve">Mireya Camacho Celis</w:t>
      </w:r>
    </w:p>
    <w:p>
      <w:pPr>
        <w:spacing w:after="60" w:before="0"/>
        <w:jc w:val="center"/>
      </w:pPr>
      <w:r>
        <w:rPr>
          <w:rFonts w:ascii="Arial" w:cs="Arial" w:eastAsia="Arial" w:hAnsi="Arial"/>
          <w:color w:val="555555"/>
          <w:sz w:val="18"/>
          <w:szCs w:val="18"/>
        </w:rPr>
        <w:t xml:space="preserve">mireyacamachocelis@gmail.com  |  Universidad Externado de Colombia</w:t>
      </w:r>
    </w:p>
    <w:p>
      <w:pPr>
        <w:spacing w:after="60" w:before="0"/>
        <w:jc w:val="center"/>
      </w:pPr>
      <w:r>
        <w:rPr>
          <w:rFonts w:ascii="Arial" w:cs="Arial" w:eastAsia="Arial" w:hAnsi="Arial"/>
          <w:color w:val="0D7377"/>
          <w:sz w:val="18"/>
          <w:szCs w:val="18"/>
        </w:rPr>
        <w:t xml:space="preserve">github.com/MireyaCamacho/cfh-hermeneutica-forense-computacional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1"/>
      </w:pBdr>
      <w:tabs>
        <w:tab w:val="right" w:pos="9026"/>
      </w:tabs>
    </w:pPr>
    <w:r>
      <w:rPr>
        <w:rFonts w:ascii="Arial" w:cs="Arial" w:eastAsia="Arial" w:hAnsi="Arial"/>
        <w:color w:val="888888"/>
        <w:sz w:val="16"/>
        <w:szCs w:val="16"/>
      </w:rPr>
      <w:t xml:space="preserve">Mireya Camacho Celis — Hermenéutica Forense Computacional</w:t>
    </w:r>
    <w:r>
      <w:rPr>
        <w:rFonts w:ascii="Arial" w:cs="Arial" w:eastAsia="Arial" w:hAnsi="Arial"/>
        <w:sz w:val="16"/>
        <w:szCs w:val="16"/>
      </w:rPr>
      <w:t xml:space="preserve">	</w:t>
    </w:r>
    <w:r>
      <w:rPr>
        <w:rFonts w:ascii="Arial" w:cs="Arial" w:eastAsia="Arial" w:hAnsi="Arial"/>
        <w:color w:val="1F3A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1"/>
      </w:pBdr>
      <w:tabs>
        <w:tab w:val="right" w:pos="9026"/>
      </w:tabs>
    </w:pPr>
    <w:r>
      <w:rPr>
        <w:rFonts w:ascii="Arial" w:cs="Arial" w:eastAsia="Arial" w:hAnsi="Arial"/>
        <w:color w:val="1F3A6E"/>
        <w:sz w:val="16"/>
        <w:szCs w:val="16"/>
      </w:rPr>
      <w:t xml:space="preserve">Plan de Trabajo — Sistema de Monitoreo de Reparación Discursiva</w:t>
    </w:r>
    <w:r>
      <w:rPr>
        <w:rFonts w:ascii="Arial" w:cs="Arial" w:eastAsia="Arial" w:hAnsi="Arial"/>
        <w:color w:val="888888"/>
        <w:sz w:val="16"/>
        <w:szCs w:val="16"/>
      </w:rPr>
      <w:t xml:space="preserve">	JEP · CFH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A6E"/>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2026-06-17T20:09:23.011Z</dcterms:created>
  <dcterms:modified xsi:type="dcterms:W3CDTF">2026-06-17T20:09:23.011Z</dcterms:modified>
</cp:coreProperties>
</file>

<file path=docProps/custom.xml><?xml version="1.0" encoding="utf-8"?>
<Properties xmlns="http://schemas.openxmlformats.org/officeDocument/2006/custom-properties" xmlns:vt="http://schemas.openxmlformats.org/officeDocument/2006/docPropsVTypes"/>
</file>