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Cambria" w:cs="Cambria" w:eastAsia="Cambria" w:hAnsi="Cambria"/>
          <w:b/>
          <w:bCs/>
          <w:color w:val="B8722A"/>
          <w:sz w:val="26"/>
          <w:szCs w:val="26"/>
        </w:rPr>
        <w:t xml:space="preserve">6.X  </w:t>
      </w:r>
      <w:r>
        <w:rPr>
          <w:rFonts w:ascii="Cambria" w:cs="Cambria" w:eastAsia="Cambria" w:hAnsi="Cambria"/>
          <w:b/>
          <w:bCs/>
          <w:color w:val="1A2B3C"/>
          <w:sz w:val="26"/>
          <w:szCs w:val="26"/>
        </w:rPr>
        <w:t xml:space="preserve">Protocolo ético para el uso del Índice de Congruencia Multimodal (ICM)</w:t>
      </w:r>
    </w:p>
    <w:p>
      <w:pPr>
        <w:pBdr>
          <w:bottom w:val="single" w:color="DDE3E8" w:sz="4" w:space="1"/>
        </w:pBdr>
        <w:spacing w:after="200" w:before="200"/>
      </w:pPr>
    </w:p>
    <w:p>
      <w:pPr>
        <w:spacing w:after="160" w:before="80"/>
      </w:pPr>
      <w:r>
        <w:rPr>
          <w:rFonts w:ascii="Calibri" w:cs="Calibri" w:eastAsia="Calibri" w:hAnsi="Calibri"/>
          <w:color w:val="1A2B3C"/>
          <w:sz w:val="22"/>
          <w:szCs w:val="22"/>
        </w:rPr>
        <w:t xml:space="preserve">El Índice de Congruencia Multimodal (ICM) analiza directamente los segmentos de audio y video atribuidos al compareciente mediante diarización automática. A diferencia de los indicadores léxicos y semánticos del framework CFH —que operan sobre textos institucionales— el ICM procesa señales fisiológicas de una persona identificada públicamente en el contexto de una audiencia judicial de alto impacto. Esta característica hace necesario un protocolo explícito que delimite qué conclusiones el método permite y cuáles están fuera de su alcance.</w:t>
      </w:r>
    </w:p>
    <w:p>
      <w:pPr>
        <w:spacing w:after="160" w:before="80"/>
      </w:pPr>
      <w:r>
        <w:rPr>
          <w:rFonts w:ascii="Calibri" w:cs="Calibri" w:eastAsia="Calibri" w:hAnsi="Calibri"/>
          <w:color w:val="1A2B3C"/>
          <w:sz w:val="22"/>
          <w:szCs w:val="22"/>
        </w:rPr>
        <w:t xml:space="preserve">El protocolo no es una nota al pie de las limitaciones del framework. Es parte constitutiva del ICM: su uso sin este protocolo constituye un uso inadecuado del método, independientemente de los resultados obtenidos.</w:t>
      </w:r>
    </w:p>
    <w:p>
      <w:pPr>
        <w:spacing w:after="0" w:before="120"/>
      </w:pPr>
    </w:p>
    <w:p>
      <w:pPr>
        <w:spacing w:after="120" w:before="240"/>
      </w:pPr>
      <w:r>
        <w:rPr>
          <w:rFonts w:ascii="Cambria" w:cs="Cambria" w:eastAsia="Cambria" w:hAnsi="Cambria"/>
          <w:b/>
          <w:bCs/>
          <w:color w:val="2E6A7C"/>
          <w:sz w:val="24"/>
          <w:szCs w:val="24"/>
        </w:rPr>
        <w:t xml:space="preserve">Las cinco condiciones del protocolo</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600"/>
        <w:gridCol w:w="8426"/>
      </w:tblGrid>
      <w:tr>
        <w:tc>
          <w:tcPr>
            <w:tcW w:type="dxa" w:w="600"/>
            <w:tcBorders>
              <w:top w:val="single" w:color="DDE3E8" w:sz="1"/>
              <w:left w:val="single" w:color="DDE3E8" w:sz="1"/>
              <w:bottom w:val="single" w:color="DDE3E8" w:sz="1"/>
              <w:right w:val="single" w:color="DDE3E8" w:sz="1"/>
            </w:tcBorders>
            <w:shd w:fill="2E6A7C" w:val="clear"/>
            <w:tcMar>
              <w:top w:type="dxa" w:w="120"/>
              <w:left w:type="dxa" w:w="120"/>
              <w:bottom w:type="dxa" w:w="120"/>
              <w:right w:type="dxa" w:w="120"/>
            </w:tcMar>
            <w:vAlign w:val="center"/>
          </w:tcPr>
          <w:p>
            <w:pPr>
              <w:jc w:val="center"/>
            </w:pPr>
            <w:r>
              <w:rPr>
                <w:rFonts w:ascii="Cambria" w:cs="Cambria" w:eastAsia="Cambria" w:hAnsi="Cambria"/>
                <w:b/>
                <w:bCs/>
                <w:color w:val="FFFFFF"/>
                <w:sz w:val="28"/>
                <w:szCs w:val="28"/>
              </w:rPr>
              <w:t xml:space="preserve">1</w:t>
            </w:r>
          </w:p>
        </w:tc>
        <w:tc>
          <w:tcPr>
            <w:tcW w:type="dxa" w:w="8426"/>
            <w:tcBorders>
              <w:top w:val="single" w:color="DDE3E8" w:sz="1"/>
              <w:left w:val="single" w:color="DDE3E8" w:sz="1"/>
              <w:bottom w:val="single" w:color="DDE3E8" w:sz="1"/>
              <w:right w:val="single" w:color="DDE3E8" w:sz="1"/>
            </w:tcBorders>
            <w:shd w:fill="F5F7F9" w:val="clear"/>
            <w:tcMar>
              <w:top w:type="dxa" w:w="120"/>
              <w:left w:type="dxa" w:w="200"/>
              <w:bottom w:type="dxa" w:w="120"/>
              <w:right w:type="dxa" w:w="120"/>
            </w:tcMar>
          </w:tcPr>
          <w:p>
            <w:pPr>
              <w:spacing w:after="60"/>
            </w:pPr>
            <w:r>
              <w:rPr>
                <w:rFonts w:ascii="Calibri" w:cs="Calibri" w:eastAsia="Calibri" w:hAnsi="Calibri"/>
                <w:b/>
                <w:bCs/>
                <w:color w:val="2E6A7C"/>
                <w:sz w:val="22"/>
                <w:szCs w:val="22"/>
              </w:rPr>
              <w:t xml:space="preserve">Límite de inferencia</w:t>
            </w:r>
          </w:p>
          <w:p>
            <w:r>
              <w:rPr>
                <w:rFonts w:ascii="Calibri" w:cs="Calibri" w:eastAsia="Calibri" w:hAnsi="Calibri"/>
                <w:color w:val="1A2B3C"/>
                <w:sz w:val="21"/>
                <w:szCs w:val="21"/>
              </w:rPr>
              <w:t xml:space="preserve">El ICM describe patrones de congruencia entre señales comunicativas —texto, voz y expresión facial— a nivel de corpus. No permite inferir estados mentales internos, intenciones ni veracidad individual. Ningún valor del ICM, considerado aisladamente o en combinación con otros indicadores CFH, puede usarse como prueba de sinceridad o insinceridad en ningún proceso judicial ni contexto institucional. Esta limitación se fundamenta en Barrett et al. (2019), que establece que las expresiones faciales no decodifican emociones internas de forma universal, y en Crivelli y Fridlund (2018), que las entiende como actos comunicativos contextuales, no como readouts de estados afectivos.</w:t>
            </w:r>
          </w:p>
        </w:tc>
      </w:tr>
    </w:tbl>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600"/>
        <w:gridCol w:w="8426"/>
      </w:tblGrid>
      <w:tr>
        <w:tc>
          <w:tcPr>
            <w:tcW w:type="dxa" w:w="600"/>
            <w:tcBorders>
              <w:top w:val="single" w:color="DDE3E8" w:sz="1"/>
              <w:left w:val="single" w:color="DDE3E8" w:sz="1"/>
              <w:bottom w:val="single" w:color="DDE3E8" w:sz="1"/>
              <w:right w:val="single" w:color="DDE3E8" w:sz="1"/>
            </w:tcBorders>
            <w:shd w:fill="2E6A7C" w:val="clear"/>
            <w:tcMar>
              <w:top w:type="dxa" w:w="120"/>
              <w:left w:type="dxa" w:w="120"/>
              <w:bottom w:type="dxa" w:w="120"/>
              <w:right w:type="dxa" w:w="120"/>
            </w:tcMar>
            <w:vAlign w:val="center"/>
          </w:tcPr>
          <w:p>
            <w:pPr>
              <w:jc w:val="center"/>
            </w:pPr>
            <w:r>
              <w:rPr>
                <w:rFonts w:ascii="Cambria" w:cs="Cambria" w:eastAsia="Cambria" w:hAnsi="Cambria"/>
                <w:b/>
                <w:bCs/>
                <w:color w:val="FFFFFF"/>
                <w:sz w:val="28"/>
                <w:szCs w:val="28"/>
              </w:rPr>
              <w:t xml:space="preserve">2</w:t>
            </w:r>
          </w:p>
        </w:tc>
        <w:tc>
          <w:tcPr>
            <w:tcW w:type="dxa" w:w="8426"/>
            <w:tcBorders>
              <w:top w:val="single" w:color="DDE3E8" w:sz="1"/>
              <w:left w:val="single" w:color="DDE3E8" w:sz="1"/>
              <w:bottom w:val="single" w:color="DDE3E8" w:sz="1"/>
              <w:right w:val="single" w:color="DDE3E8" w:sz="1"/>
            </w:tcBorders>
            <w:shd w:fill="F5F7F9" w:val="clear"/>
            <w:tcMar>
              <w:top w:type="dxa" w:w="120"/>
              <w:left w:type="dxa" w:w="200"/>
              <w:bottom w:type="dxa" w:w="120"/>
              <w:right w:type="dxa" w:w="120"/>
            </w:tcMar>
          </w:tcPr>
          <w:p>
            <w:pPr>
              <w:spacing w:after="60"/>
            </w:pPr>
            <w:r>
              <w:rPr>
                <w:rFonts w:ascii="Calibri" w:cs="Calibri" w:eastAsia="Calibri" w:hAnsi="Calibri"/>
                <w:b/>
                <w:bCs/>
                <w:color w:val="2E6A7C"/>
                <w:sz w:val="22"/>
                <w:szCs w:val="22"/>
              </w:rPr>
              <w:t xml:space="preserve">Nivel permitido de conclusión</w:t>
            </w:r>
          </w:p>
          <w:p>
            <w:r>
              <w:rPr>
                <w:rFonts w:ascii="Calibri" w:cs="Calibri" w:eastAsia="Calibri" w:hAnsi="Calibri"/>
                <w:color w:val="1A2B3C"/>
                <w:sz w:val="21"/>
                <w:szCs w:val="21"/>
              </w:rPr>
              <w:t xml:space="preserve">Las conclusiones derivadas del ICM son comparativas entre subcasos dentro del corpus CFH del Macrocaso 003. El ICM de Catatumbo (0.295) es interpretable en relación con el ICM de Dabeiba (0.490) dentro del corpus —no como valor absoluto ni como referencia generalizable a otros comparecientes, otras audiencias o cualquier contexto fuera del Macrocaso 003 sin validación adicional específica.</w:t>
            </w:r>
          </w:p>
        </w:tc>
      </w:tr>
    </w:tbl>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600"/>
        <w:gridCol w:w="8426"/>
      </w:tblGrid>
      <w:tr>
        <w:tc>
          <w:tcPr>
            <w:tcW w:type="dxa" w:w="600"/>
            <w:tcBorders>
              <w:top w:val="single" w:color="DDE3E8" w:sz="1"/>
              <w:left w:val="single" w:color="DDE3E8" w:sz="1"/>
              <w:bottom w:val="single" w:color="DDE3E8" w:sz="1"/>
              <w:right w:val="single" w:color="DDE3E8" w:sz="1"/>
            </w:tcBorders>
            <w:shd w:fill="2E6A7C" w:val="clear"/>
            <w:tcMar>
              <w:top w:type="dxa" w:w="120"/>
              <w:left w:type="dxa" w:w="120"/>
              <w:bottom w:type="dxa" w:w="120"/>
              <w:right w:type="dxa" w:w="120"/>
            </w:tcMar>
            <w:vAlign w:val="center"/>
          </w:tcPr>
          <w:p>
            <w:pPr>
              <w:jc w:val="center"/>
            </w:pPr>
            <w:r>
              <w:rPr>
                <w:rFonts w:ascii="Cambria" w:cs="Cambria" w:eastAsia="Cambria" w:hAnsi="Cambria"/>
                <w:b/>
                <w:bCs/>
                <w:color w:val="FFFFFF"/>
                <w:sz w:val="28"/>
                <w:szCs w:val="28"/>
              </w:rPr>
              <w:t xml:space="preserve">3</w:t>
            </w:r>
          </w:p>
        </w:tc>
        <w:tc>
          <w:tcPr>
            <w:tcW w:type="dxa" w:w="8426"/>
            <w:tcBorders>
              <w:top w:val="single" w:color="DDE3E8" w:sz="1"/>
              <w:left w:val="single" w:color="DDE3E8" w:sz="1"/>
              <w:bottom w:val="single" w:color="DDE3E8" w:sz="1"/>
              <w:right w:val="single" w:color="DDE3E8" w:sz="1"/>
            </w:tcBorders>
            <w:shd w:fill="F5F7F9" w:val="clear"/>
            <w:tcMar>
              <w:top w:type="dxa" w:w="120"/>
              <w:left w:type="dxa" w:w="200"/>
              <w:bottom w:type="dxa" w:w="120"/>
              <w:right w:type="dxa" w:w="120"/>
            </w:tcMar>
          </w:tcPr>
          <w:p>
            <w:pPr>
              <w:spacing w:after="60"/>
            </w:pPr>
            <w:r>
              <w:rPr>
                <w:rFonts w:ascii="Calibri" w:cs="Calibri" w:eastAsia="Calibri" w:hAnsi="Calibri"/>
                <w:b/>
                <w:bCs/>
                <w:color w:val="2E6A7C"/>
                <w:sz w:val="22"/>
                <w:szCs w:val="22"/>
              </w:rPr>
              <w:t xml:space="preserve">Material público con uso ético restringido</w:t>
            </w:r>
          </w:p>
          <w:p>
            <w:r>
              <w:rPr>
                <w:rFonts w:ascii="Calibri" w:cs="Calibri" w:eastAsia="Calibri" w:hAnsi="Calibri"/>
                <w:color w:val="1A2B3C"/>
                <w:sz w:val="21"/>
                <w:szCs w:val="21"/>
              </w:rPr>
              <w:t xml:space="preserve">El análisis se realizó sobre audiencias públicas transmitidas por la JEP. La disponibilidad pública del material no habilita cualquier uso: el análisis de señales faciales y vocales de personas identificadas en contextos judiciales de alto impacto requiere este protocolo independientemente de la fuente. La expectativa razonable de privacidad en una audiencia judicial difiere de la de un video de entretenimiento público, aun cuando ambos sean técnicamente accesibles en la misma plataforma.</w:t>
            </w:r>
          </w:p>
        </w:tc>
      </w:tr>
    </w:tbl>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600"/>
        <w:gridCol w:w="8426"/>
      </w:tblGrid>
      <w:tr>
        <w:tc>
          <w:tcPr>
            <w:tcW w:type="dxa" w:w="600"/>
            <w:tcBorders>
              <w:top w:val="single" w:color="DDE3E8" w:sz="1"/>
              <w:left w:val="single" w:color="DDE3E8" w:sz="1"/>
              <w:bottom w:val="single" w:color="DDE3E8" w:sz="1"/>
              <w:right w:val="single" w:color="DDE3E8" w:sz="1"/>
            </w:tcBorders>
            <w:shd w:fill="2E6A7C" w:val="clear"/>
            <w:tcMar>
              <w:top w:type="dxa" w:w="120"/>
              <w:left w:type="dxa" w:w="120"/>
              <w:bottom w:type="dxa" w:w="120"/>
              <w:right w:type="dxa" w:w="120"/>
            </w:tcMar>
            <w:vAlign w:val="center"/>
          </w:tcPr>
          <w:p>
            <w:pPr>
              <w:jc w:val="center"/>
            </w:pPr>
            <w:r>
              <w:rPr>
                <w:rFonts w:ascii="Cambria" w:cs="Cambria" w:eastAsia="Cambria" w:hAnsi="Cambria"/>
                <w:b/>
                <w:bCs/>
                <w:color w:val="FFFFFF"/>
                <w:sz w:val="28"/>
                <w:szCs w:val="28"/>
              </w:rPr>
              <w:t xml:space="preserve">4</w:t>
            </w:r>
          </w:p>
        </w:tc>
        <w:tc>
          <w:tcPr>
            <w:tcW w:type="dxa" w:w="8426"/>
            <w:tcBorders>
              <w:top w:val="single" w:color="DDE3E8" w:sz="1"/>
              <w:left w:val="single" w:color="DDE3E8" w:sz="1"/>
              <w:bottom w:val="single" w:color="DDE3E8" w:sz="1"/>
              <w:right w:val="single" w:color="DDE3E8" w:sz="1"/>
            </w:tcBorders>
            <w:shd w:fill="F5F7F9" w:val="clear"/>
            <w:tcMar>
              <w:top w:type="dxa" w:w="120"/>
              <w:left w:type="dxa" w:w="200"/>
              <w:bottom w:type="dxa" w:w="120"/>
              <w:right w:type="dxa" w:w="120"/>
            </w:tcMar>
          </w:tcPr>
          <w:p>
            <w:pPr>
              <w:spacing w:after="60"/>
            </w:pPr>
            <w:r>
              <w:rPr>
                <w:rFonts w:ascii="Calibri" w:cs="Calibri" w:eastAsia="Calibri" w:hAnsi="Calibri"/>
                <w:b/>
                <w:bCs/>
                <w:color w:val="2E6A7C"/>
                <w:sz w:val="22"/>
                <w:szCs w:val="22"/>
              </w:rPr>
              <w:t xml:space="preserve">Prohibición de uso procesal individual sin validación adicional</w:t>
            </w:r>
          </w:p>
          <w:p>
            <w:r>
              <w:rPr>
                <w:rFonts w:ascii="Calibri" w:cs="Calibri" w:eastAsia="Calibri" w:hAnsi="Calibri"/>
                <w:color w:val="1A2B3C"/>
                <w:sz w:val="21"/>
                <w:szCs w:val="21"/>
              </w:rPr>
              <w:t xml:space="preserve">Cualquier uso del ICM como evidencia en un proceso judicial individual —incidente de incumplimiento, evaluación de sanción, recurso de apelación— requiere: (a) un estudio de validación diseñado específicamente para ese uso, con estándares de evidencia forense; (b) auditoría del modelo sobre el corpus específico del caso; y (c) concepto jurídico sobre admisibilidad emitido por la autoridad competente. El framework CFH, en su estado actual, no provee ninguno de estos tres elementos para uso procesal individual.</w:t>
            </w:r>
          </w:p>
        </w:tc>
      </w:tr>
    </w:tbl>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600"/>
        <w:gridCol w:w="8426"/>
      </w:tblGrid>
      <w:tr>
        <w:tc>
          <w:tcPr>
            <w:tcW w:type="dxa" w:w="600"/>
            <w:tcBorders>
              <w:top w:val="single" w:color="DDE3E8" w:sz="1"/>
              <w:left w:val="single" w:color="DDE3E8" w:sz="1"/>
              <w:bottom w:val="single" w:color="DDE3E8" w:sz="1"/>
              <w:right w:val="single" w:color="DDE3E8" w:sz="1"/>
            </w:tcBorders>
            <w:shd w:fill="2E6A7C" w:val="clear"/>
            <w:tcMar>
              <w:top w:type="dxa" w:w="120"/>
              <w:left w:type="dxa" w:w="120"/>
              <w:bottom w:type="dxa" w:w="120"/>
              <w:right w:type="dxa" w:w="120"/>
            </w:tcMar>
            <w:vAlign w:val="center"/>
          </w:tcPr>
          <w:p>
            <w:pPr>
              <w:jc w:val="center"/>
            </w:pPr>
            <w:r>
              <w:rPr>
                <w:rFonts w:ascii="Cambria" w:cs="Cambria" w:eastAsia="Cambria" w:hAnsi="Cambria"/>
                <w:b/>
                <w:bCs/>
                <w:color w:val="FFFFFF"/>
                <w:sz w:val="28"/>
                <w:szCs w:val="28"/>
              </w:rPr>
              <w:t xml:space="preserve">5</w:t>
            </w:r>
          </w:p>
        </w:tc>
        <w:tc>
          <w:tcPr>
            <w:tcW w:type="dxa" w:w="8426"/>
            <w:tcBorders>
              <w:top w:val="single" w:color="DDE3E8" w:sz="1"/>
              <w:left w:val="single" w:color="DDE3E8" w:sz="1"/>
              <w:bottom w:val="single" w:color="DDE3E8" w:sz="1"/>
              <w:right w:val="single" w:color="DDE3E8" w:sz="1"/>
            </w:tcBorders>
            <w:shd w:fill="F5F7F9" w:val="clear"/>
            <w:tcMar>
              <w:top w:type="dxa" w:w="120"/>
              <w:left w:type="dxa" w:w="200"/>
              <w:bottom w:type="dxa" w:w="120"/>
              <w:right w:type="dxa" w:w="120"/>
            </w:tcMar>
          </w:tcPr>
          <w:p>
            <w:pPr>
              <w:spacing w:after="60"/>
            </w:pPr>
            <w:r>
              <w:rPr>
                <w:rFonts w:ascii="Calibri" w:cs="Calibri" w:eastAsia="Calibri" w:hAnsi="Calibri"/>
                <w:b/>
                <w:bCs/>
                <w:color w:val="2E6A7C"/>
                <w:sz w:val="22"/>
                <w:szCs w:val="22"/>
              </w:rPr>
              <w:t xml:space="preserve">Auditoría interseccional pendiente como condición de uso institucional</w:t>
            </w:r>
          </w:p>
          <w:p>
            <w:r>
              <w:rPr>
                <w:rFonts w:ascii="Calibri" w:cs="Calibri" w:eastAsia="Calibri" w:hAnsi="Calibri"/>
                <w:color w:val="1A2B3C"/>
                <w:sz w:val="21"/>
                <w:szCs w:val="21"/>
              </w:rPr>
              <w:t xml:space="preserve">Los resultados del canal facial del ICM están sujetos a los sesgos de entrenamiento de MediaPipe FaceLandmarker documentados por Buolamwini y Gebru (2018): tasas de error significativamente mayores en personas de piel oscura —hasta 34.7 puntos de diferencia en clasificadores comerciales comparables. No existe auditoría pública de MediaPipe sobre rostros mestizos, afrocolombianos ni indígenas. En consecuencia, el ICM facial no debe usarse como evidencia institucional de ningún tipo sin una auditoría interseccional previa conforme al protocolo Gender Shades o equivalente, aplicada específicamente sobre el corpus del Macrocaso 003.</w:t>
            </w:r>
          </w:p>
        </w:tc>
      </w:tr>
    </w:tbl>
    <w:p>
      <w:pPr>
        <w:spacing w:after="0" w:before="120"/>
      </w:pPr>
    </w:p>
    <w:p>
      <w:pPr>
        <w:spacing w:after="0" w:before="120"/>
      </w:pPr>
    </w:p>
    <w:p>
      <w:pPr>
        <w:spacing w:after="120" w:before="240"/>
      </w:pPr>
      <w:r>
        <w:rPr>
          <w:rFonts w:ascii="Cambria" w:cs="Cambria" w:eastAsia="Cambria" w:hAnsi="Cambria"/>
          <w:b/>
          <w:bCs/>
          <w:color w:val="2E6A7C"/>
          <w:sz w:val="24"/>
          <w:szCs w:val="24"/>
        </w:rPr>
        <w:t xml:space="preserve">Aplicación del protocolo en contexto institucional</w:t>
      </w:r>
    </w:p>
    <w:p>
      <w:pPr>
        <w:spacing w:after="160" w:before="80"/>
      </w:pPr>
      <w:r>
        <w:rPr>
          <w:rFonts w:ascii="Calibri" w:cs="Calibri" w:eastAsia="Calibri" w:hAnsi="Calibri"/>
          <w:color w:val="1A2B3C"/>
          <w:sz w:val="22"/>
          <w:szCs w:val="22"/>
        </w:rPr>
        <w:t xml:space="preserve">Si la Jurisdicción Especial para la Paz considera incorporar el ICM como insumo en alguna etapa del proceso del Macrocaso 003, la adopción del protocolo descrito en esta sección es condición previa y no negociable. El protocolo no limita la utilidad del ICM —delimita el tipo de utilidad que el método puede ofrecer con responsabilidad metodológica y ética.</w:t>
      </w:r>
    </w:p>
    <w:p>
      <w:pPr>
        <w:spacing w:after="160" w:before="80"/>
      </w:pPr>
      <w:r>
        <w:rPr>
          <w:rFonts w:ascii="Calibri" w:cs="Calibri" w:eastAsia="Calibri" w:hAnsi="Calibri"/>
          <w:color w:val="1A2B3C"/>
          <w:sz w:val="22"/>
          <w:szCs w:val="22"/>
        </w:rPr>
        <w:t xml:space="preserve">En términos operativos, el uso del ICM en contexto institucional requiere: la adopción formal de las cinco condiciones descritas; la realización de la auditoría interseccional sobre el corpus (Condición 5); un concepto jurídico sobre admisibilidad si se considera uso procesal (Condición 4); y una fase de validación perceptual del ICM contra jueces humanos sobre una muestra del Corpus C, conforme a Baird y Coutinho (2019), que permita calibrar la correspondencia entre los valores calculados y la percepción experta de congruencia comunicativa.</w:t>
      </w:r>
    </w:p>
    <w:p>
      <w:pPr>
        <w:spacing w:after="0" w:before="120"/>
      </w:pPr>
    </w:p>
    <w:p>
      <w:pPr>
        <w:spacing w:after="120" w:before="240"/>
      </w:pPr>
      <w:r>
        <w:rPr>
          <w:rFonts w:ascii="Cambria" w:cs="Cambria" w:eastAsia="Cambria" w:hAnsi="Cambria"/>
          <w:b/>
          <w:bCs/>
          <w:color w:val="2E6A7C"/>
          <w:sz w:val="24"/>
          <w:szCs w:val="24"/>
        </w:rPr>
        <w:t xml:space="preserve">Referencias del protocolo</w:t>
      </w:r>
    </w:p>
    <w:p>
      <w:pPr>
        <w:spacing w:after="60" w:before="60"/>
        <w:ind w:left="720"/>
      </w:pPr>
      <w:r>
        <w:rPr>
          <w:rFonts w:ascii="Calibri" w:cs="Calibri" w:eastAsia="Calibri" w:hAnsi="Calibri"/>
          <w:i/>
          <w:iCs/>
          <w:color w:val="6B7F8E"/>
          <w:sz w:val="20"/>
          <w:szCs w:val="20"/>
        </w:rPr>
        <w:t xml:space="preserve">Baird, A. y Coutinho, E. (2019). Sincerity in Acted Speech: The Sincere Apology Corpus (SinA-C). INTERSPEECH 2019.</w:t>
      </w:r>
    </w:p>
    <w:p>
      <w:pPr>
        <w:spacing w:after="60" w:before="60"/>
        <w:ind w:left="720"/>
      </w:pPr>
      <w:r>
        <w:rPr>
          <w:rFonts w:ascii="Calibri" w:cs="Calibri" w:eastAsia="Calibri" w:hAnsi="Calibri"/>
          <w:i/>
          <w:iCs/>
          <w:color w:val="6B7F8E"/>
          <w:sz w:val="20"/>
          <w:szCs w:val="20"/>
        </w:rPr>
        <w:t xml:space="preserve">Barrett, L. F., Adolphs, R., Marsella, S., Martinez, A. M., y Pollak, S. D. (2019). Emotional Expressions Reconsidered: Challenges to Inferring Emotion From Human Facial Movements. Psychological Science in the Public Interest, 20(1), 1–68.</w:t>
      </w:r>
    </w:p>
    <w:p>
      <w:pPr>
        <w:spacing w:after="60" w:before="60"/>
        <w:ind w:left="720"/>
      </w:pPr>
      <w:r>
        <w:rPr>
          <w:rFonts w:ascii="Calibri" w:cs="Calibri" w:eastAsia="Calibri" w:hAnsi="Calibri"/>
          <w:i/>
          <w:iCs/>
          <w:color w:val="6B7F8E"/>
          <w:sz w:val="20"/>
          <w:szCs w:val="20"/>
        </w:rPr>
        <w:t xml:space="preserve">Buolamwini, J., y Gebru, T. (2018). Gender Shades: Intersectional Accuracy Disparities in Commercial Gender Classification. Proceedings of Machine Learning Research, 81, 1–15.</w:t>
      </w:r>
    </w:p>
    <w:p>
      <w:pPr>
        <w:spacing w:after="60" w:before="60"/>
        <w:ind w:left="720"/>
      </w:pPr>
      <w:r>
        <w:rPr>
          <w:rFonts w:ascii="Calibri" w:cs="Calibri" w:eastAsia="Calibri" w:hAnsi="Calibri"/>
          <w:i/>
          <w:iCs/>
          <w:color w:val="6B7F8E"/>
          <w:sz w:val="20"/>
          <w:szCs w:val="20"/>
        </w:rPr>
        <w:t xml:space="preserve">Crivelli, C., y Fridlund, A. J. (2018). Facial Displays Are Tools for Social Influence. Trends in Cognitive Sciences, 22(5), 388–399.</w:t>
      </w:r>
    </w:p>
    <w:p>
      <w:pPr>
        <w:spacing w:after="60" w:before="60"/>
        <w:ind w:left="720"/>
      </w:pPr>
      <w:r>
        <w:rPr>
          <w:rFonts w:ascii="Calibri" w:cs="Calibri" w:eastAsia="Calibri" w:hAnsi="Calibri"/>
          <w:i/>
          <w:iCs/>
          <w:color w:val="6B7F8E"/>
          <w:sz w:val="20"/>
          <w:szCs w:val="20"/>
        </w:rPr>
        <w:t xml:space="preserve">Reisenzein, R., Studtmann, M., y Horstmann, G. (2013). Coherence between Emotion and Facial Expression: Evidence from Laboratory Experiments. Emotion Review, 5(1), 16–23.</w:t>
      </w:r>
    </w:p>
    <w:p>
      <w:pPr>
        <w:spacing w:after="60" w:before="60"/>
        <w:ind w:left="720"/>
      </w:pPr>
      <w:r>
        <w:rPr>
          <w:rFonts w:ascii="Calibri" w:cs="Calibri" w:eastAsia="Calibri" w:hAnsi="Calibri"/>
          <w:i/>
          <w:iCs/>
          <w:color w:val="6B7F8E"/>
          <w:sz w:val="20"/>
          <w:szCs w:val="20"/>
        </w:rPr>
        <w:t xml:space="preserve">Sen, S., Singh, G., y Varshney, P. (2024). Deception detection using machine learning: A systematic review and transfer learning limitations from low-stakes to high-stakes. Expert Systems with Applications, 213, 119048.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B3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80" w:before="360"/>
      <w:outlineLvl w:val="1"/>
    </w:pPr>
    <w:rPr>
      <w:rFonts w:ascii="Cambria" w:cs="Cambria" w:eastAsia="Cambria" w:hAnsi="Cambria"/>
      <w:b/>
      <w:bCs/>
      <w:color w:val="1A2B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2026-05-11T03:51:28.102Z</dcterms:created>
  <dcterms:modified xsi:type="dcterms:W3CDTF">2026-05-11T03:51:28.158Z</dcterms:modified>
</cp:coreProperties>
</file>

<file path=docProps/custom.xml><?xml version="1.0" encoding="utf-8"?>
<Properties xmlns="http://schemas.openxmlformats.org/officeDocument/2006/custom-properties" xmlns:vt="http://schemas.openxmlformats.org/officeDocument/2006/docPropsVTypes"/>
</file>