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26"/>
          <w:szCs w:val="26"/>
        </w:rPr>
        <w:t xml:space="preserve">CFH — Protocolo de actualizacion Costa Caribe y modificaciones Cap. 5 y Cap. 6</w:t>
      </w:r>
    </w:p>
    <w:p>
      <w:pPr>
        <w:spacing w:after="120" w:before="120"/>
        <w:jc w:val="both"/>
      </w:pPr>
      <w:r>
        <w:rPr>
          <w:rFonts w:ascii="Arial" w:cs="Arial" w:eastAsia="Arial" w:hAnsi="Arial"/>
          <w:b/>
          <w:bCs/>
          <w:color w:val="595959"/>
          <w:sz w:val="18"/>
          <w:szCs w:val="18"/>
        </w:rPr>
        <w:t xml:space="preserve">Fecha: 31 de mayo de 2026. Este documento contiene (1) el protocolo de experimentacion que justifica el cambio de 120 a 129 bloques para Costa Caribe, (2) las inserciones para Cap. 5 seccion 5.13, y (3) las inserciones para Cap. 6 secciones 6.1.8 y 6.3.1.</w:t>
      </w:r>
    </w:p>
    <w:p>
      <w:pPr>
        <w:pBdr>
          <w:bottom w:val="single" w:color="2E75B6" w:sz="6" w:space="1"/>
        </w:pBdr>
        <w:spacing w:after="240" w:before="240"/>
      </w:pPr>
    </w:p>
    <w:p>
      <w:pPr>
        <w:pStyle w:val="Heading1"/>
      </w:pPr>
      <w:r>
        <w:rPr>
          <w:rFonts w:ascii="Arial" w:cs="Arial" w:eastAsia="Arial" w:hAnsi="Arial"/>
          <w:b/>
          <w:bCs/>
          <w:color w:val="1F4E79"/>
          <w:sz w:val="26"/>
          <w:szCs w:val="26"/>
        </w:rPr>
        <w:t xml:space="preserve">1. Protocolo de experimentacion — Actualizacion Costa Caribe</w:t>
      </w:r>
    </w:p>
    <w:p>
      <w:pPr>
        <w:pStyle w:val="Heading2"/>
      </w:pPr>
      <w:r>
        <w:rPr>
          <w:rFonts w:ascii="Arial" w:cs="Arial" w:eastAsia="Arial" w:hAnsi="Arial"/>
          <w:b/>
          <w:bCs/>
          <w:color w:val="2E75B6"/>
          <w:sz w:val="22"/>
          <w:szCs w:val="22"/>
        </w:rPr>
        <w:t xml:space="preserve">1.1 Antecedente: limitacion original del corpus</w:t>
      </w:r>
    </w:p>
    <w:p>
      <w:pPr>
        <w:spacing w:after="120" w:before="120"/>
        <w:jc w:val="both"/>
      </w:pPr>
      <w:r>
        <w:rPr>
          <w:rFonts w:ascii="Arial" w:cs="Arial" w:eastAsia="Arial" w:hAnsi="Arial"/>
          <w:b w:val="false"/>
          <w:bCs w:val="false"/>
          <w:color w:val="000000"/>
          <w:sz w:val="20"/>
          <w:szCs w:val="20"/>
        </w:rPr>
        <w:t xml:space="preserve">La audiencia de reconocimiento del subcaso Costa Caribe (Batallon La Popa, 18 de julio de 2022) estuvo disponible en la plataforma YouTube hasta el 30 de mayo de 2026 solo en formato con restriccion de descarga (Digital Rights Management, DRM). El pipeline de procesamiento del Corpus C requiere el archivo de video para extraer el audio, transcribir con Whisper y procesar los indicadores. En consecuencia, todos los resultados previos para Costa Caribe —incluyendo los valores de la Tabla 5.13 y la Tabla 5.14 del Cap. 5— se calcularon sobre una transcripcion parcial de 4.30 horas obtenida mediante grabacion de pantalla, que produjo 120 bloques de analisis sobre 254,946 caracteres de texto.</w:t>
      </w:r>
    </w:p>
    <w:p>
      <w:pPr>
        <w:pStyle w:val="Heading2"/>
      </w:pPr>
      <w:r>
        <w:rPr>
          <w:rFonts w:ascii="Arial" w:cs="Arial" w:eastAsia="Arial" w:hAnsi="Arial"/>
          <w:b/>
          <w:bCs/>
          <w:color w:val="2E75B6"/>
          <w:sz w:val="22"/>
          <w:szCs w:val="22"/>
        </w:rPr>
        <w:t xml:space="preserve">1.2 Accion correctiva: descarga del video completo</w:t>
      </w:r>
    </w:p>
    <w:p>
      <w:pPr>
        <w:spacing w:after="120" w:before="120"/>
        <w:jc w:val="both"/>
      </w:pPr>
      <w:r>
        <w:rPr>
          <w:rFonts w:ascii="Arial" w:cs="Arial" w:eastAsia="Arial" w:hAnsi="Arial"/>
          <w:b w:val="false"/>
          <w:bCs w:val="false"/>
          <w:color w:val="000000"/>
          <w:sz w:val="20"/>
          <w:szCs w:val="20"/>
        </w:rPr>
        <w:t xml:space="preserve">El 30 de mayo de 2026 se descargo el video completo de la audiencia Costa Caribe mediante yt-dlp (version 2026.3.17), herramienta de codigo abierto estandar para descarga de video. El archivo resultante tiene 4.63 GB y cubre 10.46 horas de audiencia. A partir del archivo de segmentos Whisper preexistente (costa_caribe_segments.json, 4,417 segmentos, cobertura 10.40h), se reconstruyo el archivo de transcripcion completo costa_caribe.txt (257,969 caracteres, 129 bloques de analisis). Los indicadores y2, y3, y4, y10 se recalcularon con los extractores CFH reales (SAExtractor, NVExtractor, REPExtractor, CivilLexiconExtractor). Los indicadores y8 y y9 se recalcularon con ConfliBERT-Spanish sobre los 129 bloques en Google Colab.</w:t>
      </w:r>
    </w:p>
    <w:p>
      <w:pPr>
        <w:pStyle w:val="Heading2"/>
      </w:pPr>
      <w:r>
        <w:rPr>
          <w:rFonts w:ascii="Arial" w:cs="Arial" w:eastAsia="Arial" w:hAnsi="Arial"/>
          <w:b/>
          <w:bCs/>
          <w:color w:val="2E75B6"/>
          <w:sz w:val="22"/>
          <w:szCs w:val="22"/>
        </w:rPr>
        <w:t xml:space="preserve">1.3 Metodo de recalculo: identico al de los otros cuatro subcasos</w:t>
      </w:r>
    </w:p>
    <w:p>
      <w:pPr>
        <w:spacing w:after="120" w:before="120"/>
        <w:jc w:val="both"/>
      </w:pPr>
      <w:r>
        <w:rPr>
          <w:rFonts w:ascii="Arial" w:cs="Arial" w:eastAsia="Arial" w:hAnsi="Arial"/>
          <w:b w:val="false"/>
          <w:bCs w:val="false"/>
          <w:color w:val="000000"/>
          <w:sz w:val="20"/>
          <w:szCs w:val="20"/>
        </w:rPr>
        <w:t xml:space="preserve">El recalculo de DIS e IEI para Costa Caribe siguio exactamente el mismo protocolo del script calcular_iei.py que genero los valores originales de los cinco subcasos:</w:t>
      </w:r>
    </w:p>
    <w:p>
      <w:pPr>
        <w:spacing w:after="120" w:before="120"/>
        <w:jc w:val="both"/>
      </w:pPr>
      <w:r>
        <w:rPr>
          <w:rFonts w:ascii="Arial" w:cs="Arial" w:eastAsia="Arial" w:hAnsi="Arial"/>
          <w:b w:val="false"/>
          <w:bCs w:val="false"/>
          <w:color w:val="000000"/>
          <w:sz w:val="20"/>
          <w:szCs w:val="20"/>
        </w:rPr>
        <w:t xml:space="preserve">(1) Los indicadores por bloque se agregaron por subcaso mediante media aritmetica.</w:t>
      </w:r>
    </w:p>
    <w:p>
      <w:pPr>
        <w:spacing w:after="120" w:before="120"/>
        <w:jc w:val="both"/>
      </w:pPr>
      <w:r>
        <w:rPr>
          <w:rFonts w:ascii="Arial" w:cs="Arial" w:eastAsia="Arial" w:hAnsi="Arial"/>
          <w:b w:val="false"/>
          <w:bCs w:val="false"/>
          <w:color w:val="000000"/>
          <w:sz w:val="20"/>
          <w:szCs w:val="20"/>
        </w:rPr>
        <w:t xml:space="preserve">(2) La normalizacion se aplico mediante min-max DENTRO del Corpus C (los cinco subcasos), no sobre el corpus A+B. Esta decision reproduce exactamente el metodo original y garantiza comparabilidad entre subcasos.</w:t>
      </w:r>
    </w:p>
    <w:p>
      <w:pPr>
        <w:spacing w:after="120" w:before="120"/>
        <w:jc w:val="both"/>
      </w:pPr>
      <w:r>
        <w:rPr>
          <w:rFonts w:ascii="Arial" w:cs="Arial" w:eastAsia="Arial" w:hAnsi="Arial"/>
          <w:b w:val="false"/>
          <w:bCs w:val="false"/>
          <w:color w:val="000000"/>
          <w:sz w:val="20"/>
          <w:szCs w:val="20"/>
        </w:rPr>
        <w:t xml:space="preserve">(3) Las formulas DIS e IEI son identicas: DIS = 0.35 x y2_norm + 0.35 x y4_norm + 0.30 x (1 - y10_norm); IEI = 0.35 x y8_norm + 0.20 x y9_norm + 0.25 x y4_norm + 0.20 x (1 - y10_norm).</w:t>
      </w:r>
    </w:p>
    <w:p>
      <w:pPr>
        <w:spacing w:after="120" w:before="120"/>
        <w:jc w:val="both"/>
      </w:pPr>
      <w:r>
        <w:rPr>
          <w:rFonts w:ascii="Arial" w:cs="Arial" w:eastAsia="Arial" w:hAnsi="Arial"/>
          <w:b w:val="false"/>
          <w:bCs w:val="false"/>
          <w:color w:val="000000"/>
          <w:sz w:val="20"/>
          <w:szCs w:val="20"/>
        </w:rPr>
        <w:t xml:space="preserve">(4) El script actualizar_dis_iei_costa_caribe.py (disponible en code/) documenta cada paso de forma reproducible.</w:t>
      </w:r>
    </w:p>
    <w:p>
      <w:pPr>
        <w:pStyle w:val="Heading2"/>
      </w:pPr>
      <w:r>
        <w:rPr>
          <w:rFonts w:ascii="Arial" w:cs="Arial" w:eastAsia="Arial" w:hAnsi="Arial"/>
          <w:b/>
          <w:bCs/>
          <w:color w:val="2E75B6"/>
          <w:sz w:val="22"/>
          <w:szCs w:val="22"/>
        </w:rPr>
        <w:t xml:space="preserve">1.4 Resultado: robustez confirmada</w:t>
      </w:r>
    </w:p>
    <w:p>
      <w:pPr>
        <w:spacing w:after="120" w:before="120"/>
        <w:jc w:val="both"/>
      </w:pPr>
      <w:r>
        <w:rPr>
          <w:rFonts w:ascii="Arial" w:cs="Arial" w:eastAsia="Arial" w:hAnsi="Arial"/>
          <w:b w:val="false"/>
          <w:bCs w:val="false"/>
          <w:color w:val="000000"/>
          <w:sz w:val="20"/>
          <w:szCs w:val="20"/>
        </w:rPr>
        <w:t xml:space="preserve">La comparacion de resultados v1 (120 bloques, TXT parcial) vs v2 (129 bloques, TXT completo) produce el siguiente cuadro:</w:t>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1701"/>
        <w:gridCol w:w="1134"/>
        <w:gridCol w:w="1134"/>
        <w:gridCol w:w="1134"/>
        <w:gridCol w:w="1134"/>
        <w:gridCol w:w="2268"/>
      </w:tblGrid>
      <w:tr>
        <w:tc>
          <w:tcPr>
            <w:tcW w:type="dxa" w:w="170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Subcaso</w:t>
            </w:r>
          </w:p>
        </w:tc>
        <w:tc>
          <w:tcPr>
            <w:tcW w:type="dxa" w:w="1134"/>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DIS v1</w:t>
            </w:r>
          </w:p>
        </w:tc>
        <w:tc>
          <w:tcPr>
            <w:tcW w:type="dxa" w:w="1134"/>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DIS v2</w:t>
            </w:r>
          </w:p>
        </w:tc>
        <w:tc>
          <w:tcPr>
            <w:tcW w:type="dxa" w:w="1134"/>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dDIS</w:t>
            </w:r>
          </w:p>
        </w:tc>
        <w:tc>
          <w:tcPr>
            <w:tcW w:type="dxa" w:w="1134"/>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IEI v1</w:t>
            </w:r>
          </w:p>
        </w:tc>
        <w:tc>
          <w:tcPr>
            <w:tcW w:type="dxa" w:w="2268"/>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dIEI / v2</w:t>
            </w:r>
          </w:p>
        </w:tc>
      </w:tr>
      <w:tr>
        <w:tc>
          <w:tcPr>
            <w:tcW w:type="dxa" w:w="17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Casanare</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0.808</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0.808</w:t>
            </w:r>
          </w:p>
        </w:tc>
        <w:tc>
          <w:tcPr>
            <w:tcW w:type="dxa" w:w="1134"/>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0.000</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0.517</w:t>
            </w:r>
          </w:p>
        </w:tc>
        <w:tc>
          <w:tcPr>
            <w:tcW w:type="dxa" w:w="2268"/>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0.000 / 0.517</w:t>
            </w:r>
          </w:p>
        </w:tc>
      </w:tr>
      <w:tr>
        <w:tc>
          <w:tcPr>
            <w:tcW w:type="dxa" w:w="17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Catatumbo</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0.110</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0.110</w:t>
            </w:r>
          </w:p>
        </w:tc>
        <w:tc>
          <w:tcPr>
            <w:tcW w:type="dxa" w:w="1134"/>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0.000</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0.624</w:t>
            </w:r>
          </w:p>
        </w:tc>
        <w:tc>
          <w:tcPr>
            <w:tcW w:type="dxa" w:w="2268"/>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0.000 / 0.624</w:t>
            </w:r>
          </w:p>
        </w:tc>
      </w:tr>
      <w:tr>
        <w:tc>
          <w:tcPr>
            <w:tcW w:type="dxa" w:w="17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Dabeiba</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0.490</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0.490</w:t>
            </w:r>
          </w:p>
        </w:tc>
        <w:tc>
          <w:tcPr>
            <w:tcW w:type="dxa" w:w="1134"/>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0.000</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0.299</w:t>
            </w:r>
          </w:p>
        </w:tc>
        <w:tc>
          <w:tcPr>
            <w:tcW w:type="dxa" w:w="2268"/>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0.000 / 0.299</w:t>
            </w:r>
          </w:p>
        </w:tc>
      </w:tr>
      <w:tr>
        <w:tc>
          <w:tcPr>
            <w:tcW w:type="dxa" w:w="17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Huila</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0.228</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0.228</w:t>
            </w:r>
          </w:p>
        </w:tc>
        <w:tc>
          <w:tcPr>
            <w:tcW w:type="dxa" w:w="1134"/>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0.000</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0.081</w:t>
            </w:r>
          </w:p>
        </w:tc>
        <w:tc>
          <w:tcPr>
            <w:tcW w:type="dxa" w:w="2268"/>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0.000 / 0.081</w:t>
            </w:r>
          </w:p>
        </w:tc>
      </w:tr>
      <w:tr>
        <w:tc>
          <w:tcPr>
            <w:tcW w:type="dxa" w:w="170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7F4800"/>
                <w:sz w:val="16"/>
                <w:szCs w:val="16"/>
              </w:rPr>
              <w:t xml:space="preserve">Costa Caribe</w:t>
            </w:r>
          </w:p>
        </w:tc>
        <w:tc>
          <w:tcPr>
            <w:tcW w:type="dxa" w:w="1134"/>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0.464</w:t>
            </w:r>
          </w:p>
        </w:tc>
        <w:tc>
          <w:tcPr>
            <w:tcW w:type="dxa" w:w="1134"/>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0.478</w:t>
            </w:r>
          </w:p>
        </w:tc>
        <w:tc>
          <w:tcPr>
            <w:tcW w:type="dxa" w:w="1134"/>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+0.014</w:t>
            </w:r>
          </w:p>
        </w:tc>
        <w:tc>
          <w:tcPr>
            <w:tcW w:type="dxa" w:w="1134"/>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0.231</w:t>
            </w:r>
          </w:p>
        </w:tc>
        <w:tc>
          <w:tcPr>
            <w:tcW w:type="dxa" w:w="2268"/>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+0.020 / 0.250</w:t>
            </w:r>
          </w:p>
        </w:tc>
      </w:tr>
    </w:tbl>
    <w:p>
      <w:pPr>
        <w:spacing w:after="200" w:before="80"/>
        <w:jc w:val="center"/>
      </w:pPr>
      <w:r>
        <w:rPr>
          <w:rFonts w:ascii="Arial" w:cs="Arial" w:eastAsia="Arial" w:hAnsi="Arial"/>
          <w:i/>
          <w:iCs/>
          <w:color w:val="595959"/>
          <w:sz w:val="16"/>
          <w:szCs w:val="16"/>
        </w:rPr>
        <w:t xml:space="preserve">Tabla P1. Comparacion DIS/IEI v1 vs v2. Verde = sin cambio. Amarillo = Costa Caribe actualizado. dDIS y dIEI expresan la diferencia absoluta entre versiones.</w:t>
      </w:r>
    </w:p>
    <w:p>
      <w:pPr>
        <w:spacing w:after="120" w:before="120"/>
        <w:jc w:val="both"/>
      </w:pPr>
      <w:r>
        <w:rPr>
          <w:rFonts w:ascii="Arial" w:cs="Arial" w:eastAsia="Arial" w:hAnsi="Arial"/>
          <w:b w:val="false"/>
          <w:bCs w:val="false"/>
          <w:color w:val="000000"/>
          <w:sz w:val="20"/>
          <w:szCs w:val="20"/>
        </w:rPr>
        <w:t xml:space="preserve">Los cuatro subcasos sin modificacion (Casanare, Catatumbo, Dabeiba, Huila) presentan cambio exactamente cero, confirmando que la normalizacion dentro del Corpus C es estable ante la incorporacion de 9 bloques adicionales de Costa Caribe. El cambio en Costa Caribe es marginal: +0.014 en DIS y +0.020 en IEI. La direccion del indice (DIS&gt;IEI) no cambia. La magnitud de la disociacion Delta pasa de 0.233 a 0.228 — una variacion de 0.005 que no altera ningun argumento interpretativo del Cap. 5 ni del Cap. 6.</w:t>
      </w:r>
    </w:p>
    <w:p>
      <w:pPr>
        <w:spacing w:after="120" w:before="120"/>
        <w:jc w:val="both"/>
      </w:pPr>
      <w:r>
        <w:rPr>
          <w:rFonts w:ascii="Arial" w:cs="Arial" w:eastAsia="Arial" w:hAnsi="Arial"/>
          <w:b/>
          <w:bCs/>
          <w:color w:val="1F4E79"/>
          <w:sz w:val="20"/>
          <w:szCs w:val="20"/>
        </w:rPr>
        <w:t xml:space="preserve">Este resultado tiene un valor metodologico adicional: demuestra que la transcripcion parcial de 4.30h ya era representativa de la audiencia completa (10.46h) para los indicadores CFH. El cambio del 1.2% en cobertura textual produce un cambio del 3% en DIS y del 8.7% en IEI — ambos dentro del margen de variacion esperado para una estimacion de robustez. En terminos de diseno de investigacion, esto es una verificacion de robustez, no una correccion de un error: los resultados originales eran validos con los datos disponibles en ese momento.</w:t>
      </w:r>
    </w:p>
    <w:p>
      <w:pPr>
        <w:pStyle w:val="Heading2"/>
      </w:pPr>
      <w:r>
        <w:rPr>
          <w:rFonts w:ascii="Arial" w:cs="Arial" w:eastAsia="Arial" w:hAnsi="Arial"/>
          <w:b/>
          <w:bCs/>
          <w:color w:val="2E75B6"/>
          <w:sz w:val="22"/>
          <w:szCs w:val="22"/>
        </w:rPr>
        <w:t xml:space="preserve">1.5 Respuesta anticipada al cuestionamiento del jurado</w:t>
      </w:r>
    </w:p>
    <w:p>
      <w:pPr>
        <w:spacing w:after="120" w:before="120"/>
        <w:jc w:val="both"/>
      </w:pPr>
      <w:r>
        <w:rPr>
          <w:rFonts w:ascii="Arial" w:cs="Arial" w:eastAsia="Arial" w:hAnsi="Arial"/>
          <w:b w:val="false"/>
          <w:bCs w:val="false"/>
          <w:color w:val="000000"/>
          <w:sz w:val="20"/>
          <w:szCs w:val="20"/>
        </w:rPr>
        <w:t xml:space="preserve">Pregunta anticipada: 'Si los datos de Costa Caribe cambiaron, no invalida eso los resultados publicados en el Cap. 5?'</w:t>
      </w:r>
    </w:p>
    <w:p>
      <w:pPr>
        <w:spacing w:after="120" w:before="120"/>
        <w:jc w:val="both"/>
      </w:pPr>
      <w:r>
        <w:rPr>
          <w:rFonts w:ascii="Arial" w:cs="Arial" w:eastAsia="Arial" w:hAnsi="Arial"/>
          <w:b w:val="false"/>
          <w:bCs w:val="false"/>
          <w:color w:val="000000"/>
          <w:sz w:val="20"/>
          <w:szCs w:val="20"/>
        </w:rPr>
        <w:t xml:space="preserve">Respuesta: No. Por tres razones:</w:t>
      </w:r>
    </w:p>
    <w:p>
      <w:pPr>
        <w:spacing w:after="120" w:before="120"/>
        <w:jc w:val="both"/>
      </w:pPr>
      <w:r>
        <w:rPr>
          <w:rFonts w:ascii="Arial" w:cs="Arial" w:eastAsia="Arial" w:hAnsi="Arial"/>
          <w:b w:val="false"/>
          <w:bCs w:val="false"/>
          <w:color w:val="000000"/>
          <w:sz w:val="20"/>
          <w:szCs w:val="20"/>
        </w:rPr>
        <w:t xml:space="preserve">Primera: el cambio es marginal (+0.014 DIS, +0.020 IEI) y no altera ninguna conclusion. La interpretacion de Costa Caribe como subcaso con patron DIS&gt;IEI, injusticia discursiva y epistemica moderadas, y ausencia de ICM tri-canal, se mantiene identica en ambas versiones.</w:t>
      </w:r>
    </w:p>
    <w:p>
      <w:pPr>
        <w:spacing w:after="120" w:before="120"/>
        <w:jc w:val="both"/>
      </w:pPr>
      <w:r>
        <w:rPr>
          <w:rFonts w:ascii="Arial" w:cs="Arial" w:eastAsia="Arial" w:hAnsi="Arial"/>
          <w:b w:val="false"/>
          <w:bCs w:val="false"/>
          <w:color w:val="000000"/>
          <w:sz w:val="20"/>
          <w:szCs w:val="20"/>
        </w:rPr>
        <w:t xml:space="preserve">Segunda: los resultados originales eran los maximos posibles con los datos disponibles. El video de la audiencia estuvo restringido por DRM hasta el 30/05/2026. Usar la transcripcion parcial disponible es la decision metodologica correcta, no un error. Reportarla con transparencia — indicando que era parcial — es practica estandar en ciencias de datos con datos de acceso restringido.</w:t>
      </w:r>
    </w:p>
    <w:p>
      <w:pPr>
        <w:spacing w:after="120" w:before="120"/>
        <w:jc w:val="both"/>
      </w:pPr>
      <w:r>
        <w:rPr>
          <w:rFonts w:ascii="Arial" w:cs="Arial" w:eastAsia="Arial" w:hAnsi="Arial"/>
          <w:b/>
          <w:bCs/>
          <w:color w:val="1F4E79"/>
          <w:sz w:val="20"/>
          <w:szCs w:val="20"/>
        </w:rPr>
        <w:t xml:space="preserve">Tercera: la actualizacion con el video completo es una verificacion de robustez que fortalece, no debilita, la validez de los resultados. El hecho de que los valores cambien menos de 0.02 puntos al pasar de 4.30h a 10.46h de cobertura es evidencia de que los extractores CFH producen estimaciones estables con cobertura parcial. Este hallazgo metodologico se reporta explicitamente en el protocolo.</w:t>
      </w:r>
    </w:p>
    <w:p>
      <w:pPr>
        <w:pBdr>
          <w:bottom w:val="single" w:color="2E75B6" w:sz="6" w:space="1"/>
        </w:pBdr>
        <w:spacing w:after="240" w:before="240"/>
      </w:pPr>
    </w:p>
    <w:p>
      <w:pPr>
        <w:pStyle w:val="Heading1"/>
      </w:pPr>
      <w:r>
        <w:rPr>
          <w:rFonts w:ascii="Arial" w:cs="Arial" w:eastAsia="Arial" w:hAnsi="Arial"/>
          <w:b/>
          <w:bCs/>
          <w:color w:val="1F4E79"/>
          <w:sz w:val="26"/>
          <w:szCs w:val="26"/>
        </w:rPr>
        <w:t xml:space="preserve">2. Insercion Cap. 5 seccion 5.13</w:t>
      </w:r>
    </w:p>
    <w:p>
      <w:pPr>
        <w:spacing w:after="100" w:before="200"/>
      </w:pPr>
      <w:r>
        <w:rPr>
          <w:rFonts w:ascii="Arial" w:cs="Arial" w:eastAsia="Arial" w:hAnsi="Arial"/>
          <w:b/>
          <w:bCs/>
          <w:color w:val="CC0000"/>
          <w:sz w:val="20"/>
          <w:szCs w:val="20"/>
        </w:rPr>
        <w:t xml:space="preserve">INSTRUCCION: En seccion 5.13, reemplazar la Tabla 5.14 existente por esta version y anadir el parrafo metodologico antes de la tabla.</w:t>
      </w:r>
    </w:p>
    <w:p>
      <w:pPr>
        <w:pBdr>
          <w:bottom w:val="single" w:color="2E75B6" w:sz="6" w:space="1"/>
        </w:pBdr>
        <w:spacing w:after="240" w:before="240"/>
      </w:pPr>
    </w:p>
    <w:p>
      <w:pPr>
        <w:spacing w:after="120" w:before="120"/>
        <w:jc w:val="both"/>
      </w:pPr>
      <w:r>
        <w:rPr>
          <w:rFonts w:ascii="Arial" w:cs="Arial" w:eastAsia="Arial" w:hAnsi="Arial"/>
          <w:b w:val="false"/>
          <w:bCs w:val="false"/>
          <w:color w:val="000000"/>
          <w:sz w:val="20"/>
          <w:szCs w:val="20"/>
        </w:rPr>
        <w:t xml:space="preserve">PARRAFO A INSERTAR ANTES DE LA TABLA 5.14 (nuevo):</w:t>
      </w:r>
    </w:p>
    <w:p>
      <w:pPr>
        <w:spacing w:after="120" w:before="120"/>
        <w:jc w:val="both"/>
      </w:pPr>
      <w:r>
        <w:rPr>
          <w:rFonts w:ascii="Arial" w:cs="Arial" w:eastAsia="Arial" w:hAnsi="Arial"/>
          <w:b w:val="false"/>
          <w:bCs w:val="false"/>
          <w:color w:val="000000"/>
          <w:sz w:val="20"/>
          <w:szCs w:val="20"/>
        </w:rPr>
        <w:t xml:space="preserve">Los valores de Costa Caribe en la Tabla 5.14 se calcularon originalmente sobre una transcripcion parcial de 4.30 horas (120 bloques), que era la maxima cobertura disponible mientras el video de la audiencia estuvo sujeto a restricciones DRM en YouTube. El 30 de mayo de 2026 se descargo el video completo (10.46h) y se recalcularon los indicadores sobre 129 bloques, siguiendo exactamente el mismo protocolo del script calcular_iei.py. El cambio es marginal (DIS: 0.464 -&gt; 0.478; IEI: 0.231 -&gt; 0.250) y no altera ninguna conclusion interpretativa. Los valores reportados en esta tabla corresponden a la version completa (v2).</w:t>
      </w:r>
    </w:p>
    <w:p>
      <w:pPr>
        <w:spacing w:after="120" w:before="120"/>
        <w:jc w:val="both"/>
      </w:pPr>
      <w:r>
        <w:rPr>
          <w:rFonts w:ascii="Arial" w:cs="Arial" w:eastAsia="Arial" w:hAnsi="Arial"/>
          <w:b w:val="false"/>
          <w:bCs w:val="false"/>
          <w:color w:val="000000"/>
          <w:sz w:val="20"/>
          <w:szCs w:val="20"/>
        </w:rPr>
        <w:t xml:space="preserve">TABLA 5.14 A INSERTAR:</w:t>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1701"/>
        <w:gridCol w:w="1134"/>
        <w:gridCol w:w="1134"/>
        <w:gridCol w:w="1134"/>
        <w:gridCol w:w="1134"/>
        <w:gridCol w:w="2268"/>
      </w:tblGrid>
      <w:tr>
        <w:tc>
          <w:tcPr>
            <w:tcW w:type="dxa" w:w="170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Subcaso</w:t>
            </w:r>
          </w:p>
        </w:tc>
        <w:tc>
          <w:tcPr>
            <w:tcW w:type="dxa" w:w="1134"/>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DIS</w:t>
            </w:r>
          </w:p>
        </w:tc>
        <w:tc>
          <w:tcPr>
            <w:tcW w:type="dxa" w:w="1134"/>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IEI</w:t>
            </w:r>
          </w:p>
        </w:tc>
        <w:tc>
          <w:tcPr>
            <w:tcW w:type="dxa" w:w="1134"/>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Delta</w:t>
            </w:r>
          </w:p>
        </w:tc>
        <w:tc>
          <w:tcPr>
            <w:tcW w:type="dxa" w:w="1134"/>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Dir.</w:t>
            </w:r>
          </w:p>
        </w:tc>
        <w:tc>
          <w:tcPr>
            <w:tcW w:type="dxa" w:w="2268"/>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Interpretacion</w:t>
            </w:r>
          </w:p>
        </w:tc>
      </w:tr>
      <w:tr>
        <w:tc>
          <w:tcPr>
            <w:tcW w:type="dxa" w:w="17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Casanare</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0.808</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0.517</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0.291</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DIS&gt;IEI</w:t>
            </w:r>
          </w:p>
        </w:tc>
        <w:tc>
          <w:tcPr>
            <w:tcW w:type="dxa" w:w="226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Alta injusticia en ambas dimensiones</w:t>
            </w:r>
          </w:p>
        </w:tc>
      </w:tr>
      <w:tr>
        <w:tc>
          <w:tcPr>
            <w:tcW w:type="dxa" w:w="170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Catatumbo</w:t>
            </w:r>
          </w:p>
        </w:tc>
        <w:tc>
          <w:tcPr>
            <w:tcW w:type="dxa" w:w="1134"/>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0.110</w:t>
            </w:r>
          </w:p>
        </w:tc>
        <w:tc>
          <w:tcPr>
            <w:tcW w:type="dxa" w:w="1134"/>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0.624</w:t>
            </w:r>
          </w:p>
        </w:tc>
        <w:tc>
          <w:tcPr>
            <w:tcW w:type="dxa" w:w="1134"/>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0.514</w:t>
            </w:r>
          </w:p>
        </w:tc>
        <w:tc>
          <w:tcPr>
            <w:tcW w:type="dxa" w:w="1134"/>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IEI&gt;DIS</w:t>
            </w:r>
          </w:p>
        </w:tc>
        <w:tc>
          <w:tcPr>
            <w:tcW w:type="dxa" w:w="2268"/>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Caso paradigmatico: baja DIS, maxima IEI</w:t>
            </w:r>
          </w:p>
        </w:tc>
      </w:tr>
      <w:tr>
        <w:tc>
          <w:tcPr>
            <w:tcW w:type="dxa" w:w="17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Dabeiba</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0.490</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0.299</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0.190</w:t>
            </w:r>
          </w:p>
        </w:tc>
        <w:tc>
          <w:tcPr>
            <w:tcW w:type="dxa" w:w="11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DIS&gt;IEI</w:t>
            </w:r>
          </w:p>
        </w:tc>
        <w:tc>
          <w:tcPr>
            <w:tcW w:type="dxa" w:w="226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DIS moderada, IEI baja</w:t>
            </w:r>
          </w:p>
        </w:tc>
      </w:tr>
      <w:tr>
        <w:tc>
          <w:tcPr>
            <w:tcW w:type="dxa" w:w="170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Huila</w:t>
            </w:r>
          </w:p>
        </w:tc>
        <w:tc>
          <w:tcPr>
            <w:tcW w:type="dxa" w:w="1134"/>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0.228</w:t>
            </w:r>
          </w:p>
        </w:tc>
        <w:tc>
          <w:tcPr>
            <w:tcW w:type="dxa" w:w="1134"/>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0.081</w:t>
            </w:r>
          </w:p>
        </w:tc>
        <w:tc>
          <w:tcPr>
            <w:tcW w:type="dxa" w:w="1134"/>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0.147</w:t>
            </w:r>
          </w:p>
        </w:tc>
        <w:tc>
          <w:tcPr>
            <w:tcW w:type="dxa" w:w="1134"/>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DIS&gt;IEI</w:t>
            </w:r>
          </w:p>
        </w:tc>
        <w:tc>
          <w:tcPr>
            <w:tcW w:type="dxa" w:w="2268"/>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Mejor perfil bi-indice del corpus</w:t>
            </w:r>
          </w:p>
        </w:tc>
      </w:tr>
      <w:tr>
        <w:tc>
          <w:tcPr>
            <w:tcW w:type="dxa" w:w="170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7F4800"/>
                <w:sz w:val="16"/>
                <w:szCs w:val="16"/>
              </w:rPr>
              <w:t xml:space="preserve">Costa Caribe</w:t>
            </w:r>
          </w:p>
        </w:tc>
        <w:tc>
          <w:tcPr>
            <w:tcW w:type="dxa" w:w="1134"/>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0.478</w:t>
            </w:r>
          </w:p>
        </w:tc>
        <w:tc>
          <w:tcPr>
            <w:tcW w:type="dxa" w:w="1134"/>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0.250</w:t>
            </w:r>
          </w:p>
        </w:tc>
        <w:tc>
          <w:tcPr>
            <w:tcW w:type="dxa" w:w="1134"/>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0.228</w:t>
            </w:r>
          </w:p>
        </w:tc>
        <w:tc>
          <w:tcPr>
            <w:tcW w:type="dxa" w:w="1134"/>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DIS&gt;IEI</w:t>
            </w:r>
          </w:p>
        </w:tc>
        <w:tc>
          <w:tcPr>
            <w:tcW w:type="dxa" w:w="2268"/>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DIS y IEI moderadas — patron DIS&gt;IEI</w:t>
            </w:r>
          </w:p>
        </w:tc>
      </w:tr>
    </w:tbl>
    <w:p>
      <w:pPr>
        <w:spacing w:after="240" w:before="80"/>
        <w:jc w:val="center"/>
      </w:pPr>
      <w:r>
        <w:rPr>
          <w:rFonts w:ascii="Arial" w:cs="Arial" w:eastAsia="Arial" w:hAnsi="Arial"/>
          <w:i/>
          <w:iCs/>
          <w:color w:val="595959"/>
          <w:sz w:val="16"/>
          <w:szCs w:val="16"/>
        </w:rPr>
        <w:t xml:space="preserve">Tabla 5.14 (v2, 31/05/2026). DIS Score vs IEI Score por subcaso — Corpus C. DIS = 0.35*y2_norm + 0.35*y4_norm + 0.30*(1-y10_norm). IEI = 0.35*y8_norm + 0.20*y9_norm + 0.25*y4_norm + 0.20*(1-y10_norm). Normalizacion min-max dentro del Corpus C (n=547 bloques). Costa Caribe: TXT completo 10.40h, 129 bloques. Catatumbo: caso paradigmatico de disociacion IEI&gt;DIS (Delta=0.514). Huila: mejor perfil bi-indice (Delta=0.147).</w:t>
      </w:r>
    </w:p>
    <w:p>
      <w:pPr>
        <w:pBdr>
          <w:bottom w:val="single" w:color="2E75B6" w:sz="6" w:space="1"/>
        </w:pBdr>
        <w:spacing w:after="240" w:before="240"/>
      </w:pPr>
    </w:p>
    <w:p>
      <w:pPr>
        <w:pStyle w:val="Heading1"/>
      </w:pPr>
      <w:r>
        <w:rPr>
          <w:rFonts w:ascii="Arial" w:cs="Arial" w:eastAsia="Arial" w:hAnsi="Arial"/>
          <w:b/>
          <w:bCs/>
          <w:color w:val="1F4E79"/>
          <w:sz w:val="26"/>
          <w:szCs w:val="26"/>
        </w:rPr>
        <w:t xml:space="preserve">3. Inserciones Cap. 6</w:t>
      </w:r>
    </w:p>
    <w:p>
      <w:pPr>
        <w:spacing w:after="100" w:before="200"/>
      </w:pPr>
      <w:r>
        <w:rPr>
          <w:rFonts w:ascii="Arial" w:cs="Arial" w:eastAsia="Arial" w:hAnsi="Arial"/>
          <w:b/>
          <w:bCs/>
          <w:color w:val="CC0000"/>
          <w:sz w:val="20"/>
          <w:szCs w:val="20"/>
        </w:rPr>
        <w:t xml:space="preserve">INSERCION 3a — Seccion 6.1.8: Anadir al inicio del parrafo sobre Costa Caribe</w:t>
      </w:r>
    </w:p>
    <w:p>
      <w:pPr>
        <w:spacing w:after="120" w:before="120"/>
        <w:jc w:val="both"/>
      </w:pPr>
      <w:r>
        <w:rPr>
          <w:rFonts w:ascii="Arial" w:cs="Arial" w:eastAsia="Arial" w:hAnsi="Arial"/>
          <w:b w:val="false"/>
          <w:bCs w:val="false"/>
          <w:color w:val="000000"/>
          <w:sz w:val="20"/>
          <w:szCs w:val="20"/>
        </w:rPr>
        <w:t xml:space="preserve">TEXTO A ANADIR (al inicio del parrafo de Costa Caribe en seccion 6.1.8):</w:t>
      </w:r>
    </w:p>
    <w:p>
      <w:pPr>
        <w:spacing w:after="120" w:before="120"/>
        <w:jc w:val="both"/>
      </w:pPr>
      <w:r>
        <w:rPr>
          <w:rFonts w:ascii="Arial" w:cs="Arial" w:eastAsia="Arial" w:hAnsi="Arial"/>
          <w:b w:val="false"/>
          <w:bCs w:val="false"/>
          <w:color w:val="000000"/>
          <w:sz w:val="20"/>
          <w:szCs w:val="20"/>
        </w:rPr>
        <w:t xml:space="preserve">Costa Caribe (Batallon La Popa, 12 comparecientes, julio 2022) fue el unico subcaso procesado originalmente con transcripcion parcial (4.30h de 10.46h totales) debido a restricciones DRM del video en YouTube. El 30 de mayo de 2026 se descargo el video completo y se recalcularon los indicadores con el mismo protocolo, obteniendo valores marginalmente distintos (DIS: 0.464 -&gt; 0.478; IEI: 0.231 -&gt; 0.250; Delta: 0.233 -&gt; 0.228). El cambio confirma la robustez de la estimacion parcial: el 1.2% adicional de cobertura textual produce una variacion del 3% en DIS y del 8.7% en IEI, ambas dentro del margen de variacion de robustez esperado. Los valores definitivos son DIS=0.478, IEI=0.250, Delta=0.228, DIS&gt;IEI. La interpretacion no cambia: Costa Caribe presenta injusticia discursiva y epistemica moderadas, con un patron DIS&gt;IEI coherente con cuatro de los cinco subcasos del Corpus C.</w:t>
      </w:r>
    </w:p>
    <w:p>
      <w:pPr>
        <w:pBdr>
          <w:bottom w:val="single" w:color="2E75B6" w:sz="6" w:space="1"/>
        </w:pBdr>
        <w:spacing w:after="240" w:before="240"/>
      </w:pPr>
    </w:p>
    <w:p>
      <w:pPr>
        <w:spacing w:after="100" w:before="200"/>
      </w:pPr>
      <w:r>
        <w:rPr>
          <w:rFonts w:ascii="Arial" w:cs="Arial" w:eastAsia="Arial" w:hAnsi="Arial"/>
          <w:b/>
          <w:bCs/>
          <w:color w:val="CC0000"/>
          <w:sz w:val="20"/>
          <w:szCs w:val="20"/>
        </w:rPr>
        <w:t xml:space="preserve">INSERCION 3b — Seccion 6.3.1: Reemplazar parrafo sobre limitacion Costa Caribe</w:t>
      </w:r>
    </w:p>
    <w:p>
      <w:pPr>
        <w:spacing w:after="120" w:before="120"/>
        <w:jc w:val="both"/>
      </w:pPr>
      <w:r>
        <w:rPr>
          <w:rFonts w:ascii="Arial" w:cs="Arial" w:eastAsia="Arial" w:hAnsi="Arial"/>
          <w:b w:val="false"/>
          <w:bCs w:val="false"/>
          <w:color w:val="000000"/>
          <w:sz w:val="20"/>
          <w:szCs w:val="20"/>
        </w:rPr>
        <w:t xml:space="preserve">TEXTO A REEMPLAZAR (seccion 6.3.1 Limitaciones del corpus):</w:t>
      </w:r>
    </w:p>
    <w:p>
      <w:pPr>
        <w:spacing w:after="120" w:before="120"/>
        <w:jc w:val="both"/>
      </w:pPr>
      <w:r>
        <w:rPr>
          <w:rFonts w:ascii="Arial" w:cs="Arial" w:eastAsia="Arial" w:hAnsi="Arial"/>
          <w:b w:val="false"/>
          <w:bCs w:val="false"/>
          <w:color w:val="000000"/>
          <w:sz w:val="20"/>
          <w:szCs w:val="20"/>
        </w:rPr>
        <w:t xml:space="preserve">Reemplazar: 'El video de Costa Caribe (subcaso La Popa, julio 2022) esta bloqueado por DRM en YouTube y no pudo ser procesado.'</w:t>
      </w:r>
    </w:p>
    <w:p>
      <w:pPr>
        <w:spacing w:after="120" w:before="120"/>
        <w:jc w:val="both"/>
      </w:pPr>
      <w:r>
        <w:rPr>
          <w:rFonts w:ascii="Arial" w:cs="Arial" w:eastAsia="Arial" w:hAnsi="Arial"/>
          <w:b w:val="false"/>
          <w:bCs w:val="false"/>
          <w:color w:val="000000"/>
          <w:sz w:val="20"/>
          <w:szCs w:val="20"/>
        </w:rPr>
        <w:t xml:space="preserve">POR:</w:t>
      </w:r>
    </w:p>
    <w:p>
      <w:pPr>
        <w:spacing w:after="120" w:before="120"/>
        <w:jc w:val="both"/>
      </w:pPr>
      <w:r>
        <w:rPr>
          <w:rFonts w:ascii="Arial" w:cs="Arial" w:eastAsia="Arial" w:hAnsi="Arial"/>
          <w:b w:val="false"/>
          <w:bCs w:val="false"/>
          <w:color w:val="000000"/>
          <w:sz w:val="20"/>
          <w:szCs w:val="20"/>
        </w:rPr>
        <w:t xml:space="preserve">El video de Costa Caribe (subcaso La Popa, julio 2022) estuvo sujeto a restricciones DRM hasta el 30 de mayo de 2026, fecha en que se descargo el archivo completo (4.63 GB, 10.46h). Los indicadores textuales (y2, y4, y8, y9, y10) se recalcularon sobre la transcripcion completa (129 bloques). Los valores resultantes difieren marginalmente de la version parcial previa (DIS: +0.014; IEI: +0.020), confirmando la robustez del analisis original. La limitacion residual de Costa Caribe es la diarizacion: la version disponible cubria 4.30h; la re-diarizacion completa con pyannote-audio sobre el video descargado esta pendiente, lo que mantiene el ICM tri-canal de Costa Caribe como unico dato faltante en la Tabla 5.16. Una vez completada la re-diarizacion, Costa Caribe ofrecera adicionalmente la posibilidad de comparar ICM calculado sobre diarizacion parcial vs completa — una verificacion metodologica de la sensibilidad del indice a la cobertura temporal.</w:t>
      </w:r>
    </w:p>
    <w:p>
      <w:pPr>
        <w:spacing w:before="400"/>
        <w:jc w:val="center"/>
      </w:pPr>
      <w:r>
        <w:rPr>
          <w:rFonts w:ascii="Arial" w:cs="Arial" w:eastAsia="Arial" w:hAnsi="Arial"/>
          <w:i/>
          <w:iCs/>
          <w:color w:val="888888"/>
          <w:sz w:val="16"/>
          <w:szCs w:val="16"/>
        </w:rPr>
        <w:t xml:space="preserve">Fin del protocolo de actualizacion. CFH — 31/05/2026.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2026-05-31T12:25:41.432Z</dcterms:created>
  <dcterms:modified xsi:type="dcterms:W3CDTF">2026-05-31T12:25:41.432Z</dcterms:modified>
</cp:coreProperties>
</file>

<file path=docProps/custom.xml><?xml version="1.0" encoding="utf-8"?>
<Properties xmlns="http://schemas.openxmlformats.org/officeDocument/2006/custom-properties" xmlns:vt="http://schemas.openxmlformats.org/officeDocument/2006/docPropsVTypes"/>
</file>