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aps/>
          <w:color w:val="B8722A"/>
          <w:sz w:val="20"/>
          <w:szCs w:val="20"/>
        </w:rPr>
        <w:t xml:space="preserve">CORPUS ANOTADO CFH — COMPILACIÓN ORIGINAL</w:t>
      </w:r>
    </w:p>
    <w:p>
      <w:pPr>
        <w:spacing w:after="240" w:before="0"/>
      </w:pPr>
      <w:r>
        <w:rPr>
          <w:rFonts w:ascii="Calibri" w:cs="Calibri" w:eastAsia="Calibri" w:hAnsi="Calibri"/>
          <w:i/>
          <w:iCs/>
          <w:color w:val="6B7F8E"/>
          <w:sz w:val="18"/>
          <w:szCs w:val="18"/>
        </w:rPr>
        <w:t xml:space="preserve">Registro Nacional del Derecho de Autor — Dirección Nacional de Derecho de Autor (DNDA) — Colombia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DDE3E8" w:sz="1"/>
              <w:left w:val="single" w:color="DDE3E8" w:sz="1"/>
              <w:bottom w:val="single" w:color="DDE3E8" w:sz="1"/>
              <w:right w:val="single" w:color="DDE3E8" w:sz="1"/>
            </w:tcBorders>
            <w:shd w:fill="E8EDF2" w:val="clear"/>
            <w:tcMar>
              <w:top w:type="dxa" w:w="80"/>
              <w:left w:type="dxa" w:w="120"/>
              <w:bottom w:type="dxa" w:w="80"/>
              <w:right w:type="dxa" w:w="120"/>
            </w:tcMar>
          </w:tcPr>
          <w:p>
            <w:r>
              <w:rPr>
                <w:rFonts w:ascii="Calibri" w:cs="Calibri" w:eastAsia="Calibri" w:hAnsi="Calibri"/>
                <w:b/>
                <w:bCs/>
                <w:color w:val="2E6A7C"/>
                <w:sz w:val="20"/>
                <w:szCs w:val="20"/>
              </w:rPr>
              <w:t xml:space="preserve">Título de la compilación</w:t>
            </w:r>
          </w:p>
        </w:tc>
        <w:tc>
          <w:tcPr>
            <w:tcW w:type="dxa" w:w="6320"/>
            <w:tcBorders>
              <w:top w:val="single" w:color="DDE3E8" w:sz="1"/>
              <w:left w:val="single" w:color="DDE3E8" w:sz="1"/>
              <w:bottom w:val="single" w:color="DDE3E8" w:sz="1"/>
              <w:right w:val="single" w:color="DDE3E8" w:sz="1"/>
            </w:tcBorders>
            <w:shd w:fill="FFFFFF" w:val="clear"/>
            <w:tcMar>
              <w:top w:type="dxa" w:w="80"/>
              <w:left w:type="dxa" w:w="120"/>
              <w:bottom w:type="dxa" w:w="80"/>
              <w:right w:type="dxa" w:w="120"/>
            </w:tcMar>
          </w:tcPr>
          <w:p>
            <w:r>
              <w:rPr>
                <w:rFonts w:ascii="Calibri" w:cs="Calibri" w:eastAsia="Calibri" w:hAnsi="Calibri"/>
                <w:color w:val="1A2B3C"/>
                <w:sz w:val="20"/>
                <w:szCs w:val="20"/>
              </w:rPr>
              <w:t xml:space="preserve">Corpus CFH — Base de anotaciones lingüísticas sobre injusticia discursiva en el archivo judicial colombiano del Macrocaso 003</w:t>
            </w:r>
          </w:p>
        </w:tc>
      </w:tr>
      <w:tr>
        <w:tc>
          <w:tcPr>
            <w:tcW w:type="dxa" w:w="2706"/>
            <w:tcBorders>
              <w:top w:val="single" w:color="DDE3E8" w:sz="1"/>
              <w:left w:val="single" w:color="DDE3E8" w:sz="1"/>
              <w:bottom w:val="single" w:color="DDE3E8" w:sz="1"/>
              <w:right w:val="single" w:color="DDE3E8" w:sz="1"/>
            </w:tcBorders>
            <w:shd w:fill="E8EDF2" w:val="clear"/>
            <w:tcMar>
              <w:top w:type="dxa" w:w="80"/>
              <w:left w:type="dxa" w:w="120"/>
              <w:bottom w:type="dxa" w:w="80"/>
              <w:right w:type="dxa" w:w="120"/>
            </w:tcMar>
          </w:tcPr>
          <w:p>
            <w:r>
              <w:rPr>
                <w:rFonts w:ascii="Calibri" w:cs="Calibri" w:eastAsia="Calibri" w:hAnsi="Calibri"/>
                <w:b/>
                <w:bCs/>
                <w:color w:val="2E6A7C"/>
                <w:sz w:val="20"/>
                <w:szCs w:val="20"/>
              </w:rPr>
              <w:t xml:space="preserve">Autora / compiladora</w:t>
            </w:r>
          </w:p>
        </w:tc>
        <w:tc>
          <w:tcPr>
            <w:tcW w:type="dxa" w:w="6320"/>
            <w:tcBorders>
              <w:top w:val="single" w:color="DDE3E8" w:sz="1"/>
              <w:left w:val="single" w:color="DDE3E8" w:sz="1"/>
              <w:bottom w:val="single" w:color="DDE3E8" w:sz="1"/>
              <w:right w:val="single" w:color="DDE3E8" w:sz="1"/>
            </w:tcBorders>
            <w:shd w:fill="FFFFFF" w:val="clear"/>
            <w:tcMar>
              <w:top w:type="dxa" w:w="80"/>
              <w:left w:type="dxa" w:w="120"/>
              <w:bottom w:type="dxa" w:w="80"/>
              <w:right w:type="dxa" w:w="120"/>
            </w:tcMar>
          </w:tcPr>
          <w:p>
            <w:r>
              <w:rPr>
                <w:rFonts w:ascii="Calibri" w:cs="Calibri" w:eastAsia="Calibri" w:hAnsi="Calibri"/>
                <w:color w:val="1A2B3C"/>
                <w:sz w:val="20"/>
                <w:szCs w:val="20"/>
              </w:rPr>
              <w:t xml:space="preserve">Mireya Camacho Celis</w:t>
            </w:r>
          </w:p>
        </w:tc>
      </w:tr>
      <w:tr>
        <w:tc>
          <w:tcPr>
            <w:tcW w:type="dxa" w:w="2706"/>
            <w:tcBorders>
              <w:top w:val="single" w:color="DDE3E8" w:sz="1"/>
              <w:left w:val="single" w:color="DDE3E8" w:sz="1"/>
              <w:bottom w:val="single" w:color="DDE3E8" w:sz="1"/>
              <w:right w:val="single" w:color="DDE3E8" w:sz="1"/>
            </w:tcBorders>
            <w:shd w:fill="E8EDF2" w:val="clear"/>
            <w:tcMar>
              <w:top w:type="dxa" w:w="80"/>
              <w:left w:type="dxa" w:w="120"/>
              <w:bottom w:type="dxa" w:w="80"/>
              <w:right w:type="dxa" w:w="120"/>
            </w:tcMar>
          </w:tcPr>
          <w:p>
            <w:r>
              <w:rPr>
                <w:rFonts w:ascii="Calibri" w:cs="Calibri" w:eastAsia="Calibri" w:hAnsi="Calibri"/>
                <w:b/>
                <w:bCs/>
                <w:color w:val="2E6A7C"/>
                <w:sz w:val="20"/>
                <w:szCs w:val="20"/>
              </w:rPr>
              <w:t xml:space="preserve">Cédula de ciudadanía</w:t>
            </w:r>
          </w:p>
        </w:tc>
        <w:tc>
          <w:tcPr>
            <w:tcW w:type="dxa" w:w="6320"/>
            <w:tcBorders>
              <w:top w:val="single" w:color="DDE3E8" w:sz="1"/>
              <w:left w:val="single" w:color="DDE3E8" w:sz="1"/>
              <w:bottom w:val="single" w:color="DDE3E8" w:sz="1"/>
              <w:right w:val="single" w:color="DDE3E8" w:sz="1"/>
            </w:tcBorders>
            <w:shd w:fill="FFFFFF" w:val="clear"/>
            <w:tcMar>
              <w:top w:type="dxa" w:w="80"/>
              <w:left w:type="dxa" w:w="120"/>
              <w:bottom w:type="dxa" w:w="80"/>
              <w:right w:type="dxa" w:w="120"/>
            </w:tcMar>
          </w:tcPr>
          <w:p>
            <w:r>
              <w:rPr>
                <w:rFonts w:ascii="Calibri" w:cs="Calibri" w:eastAsia="Calibri" w:hAnsi="Calibri"/>
                <w:color w:val="1A2B3C"/>
                <w:sz w:val="20"/>
                <w:szCs w:val="20"/>
              </w:rPr>
              <w:t xml:space="preserve">[número de cédula]</w:t>
            </w:r>
          </w:p>
        </w:tc>
      </w:tr>
      <w:tr>
        <w:tc>
          <w:tcPr>
            <w:tcW w:type="dxa" w:w="2706"/>
            <w:tcBorders>
              <w:top w:val="single" w:color="DDE3E8" w:sz="1"/>
              <w:left w:val="single" w:color="DDE3E8" w:sz="1"/>
              <w:bottom w:val="single" w:color="DDE3E8" w:sz="1"/>
              <w:right w:val="single" w:color="DDE3E8" w:sz="1"/>
            </w:tcBorders>
            <w:shd w:fill="E8EDF2" w:val="clear"/>
            <w:tcMar>
              <w:top w:type="dxa" w:w="80"/>
              <w:left w:type="dxa" w:w="120"/>
              <w:bottom w:type="dxa" w:w="80"/>
              <w:right w:type="dxa" w:w="120"/>
            </w:tcMar>
          </w:tcPr>
          <w:p>
            <w:r>
              <w:rPr>
                <w:rFonts w:ascii="Calibri" w:cs="Calibri" w:eastAsia="Calibri" w:hAnsi="Calibri"/>
                <w:b/>
                <w:bCs/>
                <w:color w:val="2E6A7C"/>
                <w:sz w:val="20"/>
                <w:szCs w:val="20"/>
              </w:rPr>
              <w:t xml:space="preserve">Institución</w:t>
            </w:r>
          </w:p>
        </w:tc>
        <w:tc>
          <w:tcPr>
            <w:tcW w:type="dxa" w:w="6320"/>
            <w:tcBorders>
              <w:top w:val="single" w:color="DDE3E8" w:sz="1"/>
              <w:left w:val="single" w:color="DDE3E8" w:sz="1"/>
              <w:bottom w:val="single" w:color="DDE3E8" w:sz="1"/>
              <w:right w:val="single" w:color="DDE3E8" w:sz="1"/>
            </w:tcBorders>
            <w:shd w:fill="FFFFFF" w:val="clear"/>
            <w:tcMar>
              <w:top w:type="dxa" w:w="80"/>
              <w:left w:type="dxa" w:w="120"/>
              <w:bottom w:type="dxa" w:w="80"/>
              <w:right w:type="dxa" w:w="120"/>
            </w:tcMar>
          </w:tcPr>
          <w:p>
            <w:r>
              <w:rPr>
                <w:rFonts w:ascii="Calibri" w:cs="Calibri" w:eastAsia="Calibri" w:hAnsi="Calibri"/>
                <w:color w:val="1A2B3C"/>
                <w:sz w:val="20"/>
                <w:szCs w:val="20"/>
              </w:rPr>
              <w:t xml:space="preserve">Universidad Externado de Colombia — Programa de Ciencia de Datos</w:t>
            </w:r>
          </w:p>
        </w:tc>
      </w:tr>
      <w:tr>
        <w:tc>
          <w:tcPr>
            <w:tcW w:type="dxa" w:w="2706"/>
            <w:tcBorders>
              <w:top w:val="single" w:color="DDE3E8" w:sz="1"/>
              <w:left w:val="single" w:color="DDE3E8" w:sz="1"/>
              <w:bottom w:val="single" w:color="DDE3E8" w:sz="1"/>
              <w:right w:val="single" w:color="DDE3E8" w:sz="1"/>
            </w:tcBorders>
            <w:shd w:fill="E8EDF2" w:val="clear"/>
            <w:tcMar>
              <w:top w:type="dxa" w:w="80"/>
              <w:left w:type="dxa" w:w="120"/>
              <w:bottom w:type="dxa" w:w="80"/>
              <w:right w:type="dxa" w:w="120"/>
            </w:tcMar>
          </w:tcPr>
          <w:p>
            <w:r>
              <w:rPr>
                <w:rFonts w:ascii="Calibri" w:cs="Calibri" w:eastAsia="Calibri" w:hAnsi="Calibri"/>
                <w:b/>
                <w:bCs/>
                <w:color w:val="2E6A7C"/>
                <w:sz w:val="20"/>
                <w:szCs w:val="20"/>
              </w:rPr>
              <w:t xml:space="preserve">Año de creación</w:t>
            </w:r>
          </w:p>
        </w:tc>
        <w:tc>
          <w:tcPr>
            <w:tcW w:type="dxa" w:w="6320"/>
            <w:tcBorders>
              <w:top w:val="single" w:color="DDE3E8" w:sz="1"/>
              <w:left w:val="single" w:color="DDE3E8" w:sz="1"/>
              <w:bottom w:val="single" w:color="DDE3E8" w:sz="1"/>
              <w:right w:val="single" w:color="DDE3E8" w:sz="1"/>
            </w:tcBorders>
            <w:shd w:fill="FFFFFF" w:val="clear"/>
            <w:tcMar>
              <w:top w:type="dxa" w:w="80"/>
              <w:left w:type="dxa" w:w="120"/>
              <w:bottom w:type="dxa" w:w="80"/>
              <w:right w:type="dxa" w:w="120"/>
            </w:tcMar>
          </w:tcPr>
          <w:p>
            <w:r>
              <w:rPr>
                <w:rFonts w:ascii="Calibri" w:cs="Calibri" w:eastAsia="Calibri" w:hAnsi="Calibri"/>
                <w:color w:val="1A2B3C"/>
                <w:sz w:val="20"/>
                <w:szCs w:val="20"/>
              </w:rPr>
              <w:t xml:space="preserve">2024</w:t>
            </w:r>
          </w:p>
        </w:tc>
      </w:tr>
      <w:tr>
        <w:tc>
          <w:tcPr>
            <w:tcW w:type="dxa" w:w="2706"/>
            <w:tcBorders>
              <w:top w:val="single" w:color="DDE3E8" w:sz="1"/>
              <w:left w:val="single" w:color="DDE3E8" w:sz="1"/>
              <w:bottom w:val="single" w:color="DDE3E8" w:sz="1"/>
              <w:right w:val="single" w:color="DDE3E8" w:sz="1"/>
            </w:tcBorders>
            <w:shd w:fill="E8EDF2" w:val="clear"/>
            <w:tcMar>
              <w:top w:type="dxa" w:w="80"/>
              <w:left w:type="dxa" w:w="120"/>
              <w:bottom w:type="dxa" w:w="80"/>
              <w:right w:type="dxa" w:w="120"/>
            </w:tcMar>
          </w:tcPr>
          <w:p>
            <w:r>
              <w:rPr>
                <w:rFonts w:ascii="Calibri" w:cs="Calibri" w:eastAsia="Calibri" w:hAnsi="Calibri"/>
                <w:b/>
                <w:bCs/>
                <w:color w:val="2E6A7C"/>
                <w:sz w:val="20"/>
                <w:szCs w:val="20"/>
              </w:rPr>
              <w:t xml:space="preserve">Naturaleza de la obra</w:t>
            </w:r>
          </w:p>
        </w:tc>
        <w:tc>
          <w:tcPr>
            <w:tcW w:type="dxa" w:w="6320"/>
            <w:tcBorders>
              <w:top w:val="single" w:color="DDE3E8" w:sz="1"/>
              <w:left w:val="single" w:color="DDE3E8" w:sz="1"/>
              <w:bottom w:val="single" w:color="DDE3E8" w:sz="1"/>
              <w:right w:val="single" w:color="DDE3E8" w:sz="1"/>
            </w:tcBorders>
            <w:shd w:fill="FFFFFF" w:val="clear"/>
            <w:tcMar>
              <w:top w:type="dxa" w:w="80"/>
              <w:left w:type="dxa" w:w="120"/>
              <w:bottom w:type="dxa" w:w="80"/>
              <w:right w:type="dxa" w:w="120"/>
            </w:tcMar>
          </w:tcPr>
          <w:p>
            <w:r>
              <w:rPr>
                <w:rFonts w:ascii="Calibri" w:cs="Calibri" w:eastAsia="Calibri" w:hAnsi="Calibri"/>
                <w:color w:val="1A2B3C"/>
                <w:sz w:val="20"/>
                <w:szCs w:val="20"/>
              </w:rPr>
              <w:t xml:space="preserve">Compilación original — selección y organización con criterio científico original</w:t>
            </w:r>
          </w:p>
        </w:tc>
      </w:tr>
      <w:tr>
        <w:tc>
          <w:tcPr>
            <w:tcW w:type="dxa" w:w="2706"/>
            <w:tcBorders>
              <w:top w:val="single" w:color="DDE3E8" w:sz="1"/>
              <w:left w:val="single" w:color="DDE3E8" w:sz="1"/>
              <w:bottom w:val="single" w:color="DDE3E8" w:sz="1"/>
              <w:right w:val="single" w:color="DDE3E8" w:sz="1"/>
            </w:tcBorders>
            <w:shd w:fill="E8EDF2" w:val="clear"/>
            <w:tcMar>
              <w:top w:type="dxa" w:w="80"/>
              <w:left w:type="dxa" w:w="120"/>
              <w:bottom w:type="dxa" w:w="80"/>
              <w:right w:type="dxa" w:w="120"/>
            </w:tcMar>
          </w:tcPr>
          <w:p>
            <w:r>
              <w:rPr>
                <w:rFonts w:ascii="Calibri" w:cs="Calibri" w:eastAsia="Calibri" w:hAnsi="Calibri"/>
                <w:b/>
                <w:bCs/>
                <w:color w:val="2E6A7C"/>
                <w:sz w:val="20"/>
                <w:szCs w:val="20"/>
              </w:rPr>
              <w:t xml:space="preserve">Estado</w:t>
            </w:r>
          </w:p>
        </w:tc>
        <w:tc>
          <w:tcPr>
            <w:tcW w:type="dxa" w:w="6320"/>
            <w:tcBorders>
              <w:top w:val="single" w:color="DDE3E8" w:sz="1"/>
              <w:left w:val="single" w:color="DDE3E8" w:sz="1"/>
              <w:bottom w:val="single" w:color="DDE3E8" w:sz="1"/>
              <w:right w:val="single" w:color="DDE3E8" w:sz="1"/>
            </w:tcBorders>
            <w:shd w:fill="FFFFFF" w:val="clear"/>
            <w:tcMar>
              <w:top w:type="dxa" w:w="80"/>
              <w:left w:type="dxa" w:w="120"/>
              <w:bottom w:type="dxa" w:w="80"/>
              <w:right w:type="dxa" w:w="120"/>
            </w:tcMar>
          </w:tcPr>
          <w:p>
            <w:r>
              <w:rPr>
                <w:rFonts w:ascii="Calibri" w:cs="Calibri" w:eastAsia="Calibri" w:hAnsi="Calibri"/>
                <w:color w:val="1A2B3C"/>
                <w:sz w:val="20"/>
                <w:szCs w:val="20"/>
              </w:rPr>
              <w:t xml:space="preserve">Obra inédita</w:t>
            </w:r>
          </w:p>
        </w:tc>
      </w:tr>
      <w:tr>
        <w:tc>
          <w:tcPr>
            <w:tcW w:type="dxa" w:w="2706"/>
            <w:tcBorders>
              <w:top w:val="single" w:color="DDE3E8" w:sz="1"/>
              <w:left w:val="single" w:color="DDE3E8" w:sz="1"/>
              <w:bottom w:val="single" w:color="DDE3E8" w:sz="1"/>
              <w:right w:val="single" w:color="DDE3E8" w:sz="1"/>
            </w:tcBorders>
            <w:shd w:fill="E8EDF2" w:val="clear"/>
            <w:tcMar>
              <w:top w:type="dxa" w:w="80"/>
              <w:left w:type="dxa" w:w="120"/>
              <w:bottom w:type="dxa" w:w="80"/>
              <w:right w:type="dxa" w:w="120"/>
            </w:tcMar>
          </w:tcPr>
          <w:p>
            <w:r>
              <w:rPr>
                <w:rFonts w:ascii="Calibri" w:cs="Calibri" w:eastAsia="Calibri" w:hAnsi="Calibri"/>
                <w:b/>
                <w:bCs/>
                <w:color w:val="2E6A7C"/>
                <w:sz w:val="20"/>
                <w:szCs w:val="20"/>
              </w:rPr>
              <w:t xml:space="preserve">Fuente del texto base</w:t>
            </w:r>
          </w:p>
        </w:tc>
        <w:tc>
          <w:tcPr>
            <w:tcW w:type="dxa" w:w="6320"/>
            <w:tcBorders>
              <w:top w:val="single" w:color="DDE3E8" w:sz="1"/>
              <w:left w:val="single" w:color="DDE3E8" w:sz="1"/>
              <w:bottom w:val="single" w:color="DDE3E8" w:sz="1"/>
              <w:right w:val="single" w:color="DDE3E8" w:sz="1"/>
            </w:tcBorders>
            <w:shd w:fill="FFFFFF" w:val="clear"/>
            <w:tcMar>
              <w:top w:type="dxa" w:w="80"/>
              <w:left w:type="dxa" w:w="120"/>
              <w:bottom w:type="dxa" w:w="80"/>
              <w:right w:type="dxa" w:w="120"/>
            </w:tcMar>
          </w:tcPr>
          <w:p>
            <w:r>
              <w:rPr>
                <w:rFonts w:ascii="Calibri" w:cs="Calibri" w:eastAsia="Calibri" w:hAnsi="Calibri"/>
                <w:color w:val="1A2B3C"/>
                <w:sz w:val="20"/>
                <w:szCs w:val="20"/>
              </w:rPr>
              <w:t xml:space="preserve">Archivo judicial colombiano — documentos públicos de la Jurisdicción Especial para la Paz (JEP), Consejo de Estado y Corte Suprema de Justicia</w:t>
            </w:r>
          </w:p>
        </w:tc>
      </w:tr>
      <w:tr>
        <w:tc>
          <w:tcPr>
            <w:tcW w:type="dxa" w:w="2706"/>
            <w:tcBorders>
              <w:top w:val="single" w:color="DDE3E8" w:sz="1"/>
              <w:left w:val="single" w:color="DDE3E8" w:sz="1"/>
              <w:bottom w:val="single" w:color="DDE3E8" w:sz="1"/>
              <w:right w:val="single" w:color="DDE3E8" w:sz="1"/>
            </w:tcBorders>
            <w:shd w:fill="E8EDF2" w:val="clear"/>
            <w:tcMar>
              <w:top w:type="dxa" w:w="80"/>
              <w:left w:type="dxa" w:w="120"/>
              <w:bottom w:type="dxa" w:w="80"/>
              <w:right w:type="dxa" w:w="120"/>
            </w:tcMar>
          </w:tcPr>
          <w:p>
            <w:r>
              <w:rPr>
                <w:rFonts w:ascii="Calibri" w:cs="Calibri" w:eastAsia="Calibri" w:hAnsi="Calibri"/>
                <w:b/>
                <w:bCs/>
                <w:color w:val="2E6A7C"/>
                <w:sz w:val="20"/>
                <w:szCs w:val="20"/>
              </w:rPr>
              <w:t xml:space="preserve">Plataforma de anotación</w:t>
            </w:r>
          </w:p>
        </w:tc>
        <w:tc>
          <w:tcPr>
            <w:tcW w:type="dxa" w:w="6320"/>
            <w:tcBorders>
              <w:top w:val="single" w:color="DDE3E8" w:sz="1"/>
              <w:left w:val="single" w:color="DDE3E8" w:sz="1"/>
              <w:bottom w:val="single" w:color="DDE3E8" w:sz="1"/>
              <w:right w:val="single" w:color="DDE3E8" w:sz="1"/>
            </w:tcBorders>
            <w:shd w:fill="FFFFFF" w:val="clear"/>
            <w:tcMar>
              <w:top w:type="dxa" w:w="80"/>
              <w:left w:type="dxa" w:w="120"/>
              <w:bottom w:type="dxa" w:w="80"/>
              <w:right w:type="dxa" w:w="120"/>
            </w:tcMar>
          </w:tcPr>
          <w:p>
            <w:r>
              <w:rPr>
                <w:rFonts w:ascii="Calibri" w:cs="Calibri" w:eastAsia="Calibri" w:hAnsi="Calibri"/>
                <w:color w:val="1A2B3C"/>
                <w:sz w:val="20"/>
                <w:szCs w:val="20"/>
              </w:rPr>
              <w:t xml:space="preserve">Label Studio</w:t>
            </w:r>
          </w:p>
        </w:tc>
      </w:tr>
      <w:tr>
        <w:tc>
          <w:tcPr>
            <w:tcW w:type="dxa" w:w="2706"/>
            <w:tcBorders>
              <w:top w:val="single" w:color="DDE3E8" w:sz="1"/>
              <w:left w:val="single" w:color="DDE3E8" w:sz="1"/>
              <w:bottom w:val="single" w:color="DDE3E8" w:sz="1"/>
              <w:right w:val="single" w:color="DDE3E8" w:sz="1"/>
            </w:tcBorders>
            <w:shd w:fill="E8EDF2" w:val="clear"/>
            <w:tcMar>
              <w:top w:type="dxa" w:w="80"/>
              <w:left w:type="dxa" w:w="120"/>
              <w:bottom w:type="dxa" w:w="80"/>
              <w:right w:type="dxa" w:w="120"/>
            </w:tcMar>
          </w:tcPr>
          <w:p>
            <w:r>
              <w:rPr>
                <w:rFonts w:ascii="Calibri" w:cs="Calibri" w:eastAsia="Calibri" w:hAnsi="Calibri"/>
                <w:b/>
                <w:bCs/>
                <w:color w:val="2E6A7C"/>
                <w:sz w:val="20"/>
                <w:szCs w:val="20"/>
              </w:rPr>
              <w:t xml:space="preserve">Repositorio asociado</w:t>
            </w:r>
          </w:p>
        </w:tc>
        <w:tc>
          <w:tcPr>
            <w:tcW w:type="dxa" w:w="6320"/>
            <w:tcBorders>
              <w:top w:val="single" w:color="DDE3E8" w:sz="1"/>
              <w:left w:val="single" w:color="DDE3E8" w:sz="1"/>
              <w:bottom w:val="single" w:color="DDE3E8" w:sz="1"/>
              <w:right w:val="single" w:color="DDE3E8" w:sz="1"/>
            </w:tcBorders>
            <w:shd w:fill="FFFFFF" w:val="clear"/>
            <w:tcMar>
              <w:top w:type="dxa" w:w="80"/>
              <w:left w:type="dxa" w:w="120"/>
              <w:bottom w:type="dxa" w:w="80"/>
              <w:right w:type="dxa" w:w="120"/>
            </w:tcMar>
          </w:tcPr>
          <w:p>
            <w:r>
              <w:rPr>
                <w:rFonts w:ascii="Calibri" w:cs="Calibri" w:eastAsia="Calibri" w:hAnsi="Calibri"/>
                <w:color w:val="1A2B3C"/>
                <w:sz w:val="20"/>
                <w:szCs w:val="20"/>
              </w:rPr>
              <w:t xml:space="preserve">github.com/MireyaCamacho/cfh-hermeneutica-forense-computacional</w:t>
            </w:r>
          </w:p>
        </w:tc>
      </w:tr>
    </w:tbl>
    <w:p>
      <w:pPr>
        <w:spacing w:after="0" w:before="80"/>
      </w:pPr>
    </w:p>
    <w:p>
      <w:pPr>
        <w:spacing w:after="0" w:before="80"/>
      </w:pPr>
    </w:p>
    <w:p>
      <w:pPr>
        <w:pBdr>
          <w:bottom w:val="single" w:color="2E6A7C" w:sz="4" w:space="1"/>
        </w:pBdr>
        <w:spacing w:after="180" w:before="360"/>
      </w:pPr>
      <w:r>
        <w:rPr>
          <w:rFonts w:ascii="Cambria" w:cs="Cambria" w:eastAsia="Cambria" w:hAnsi="Cambria"/>
          <w:b/>
          <w:bCs/>
          <w:color w:val="1A2B3C"/>
          <w:sz w:val="28"/>
          <w:szCs w:val="28"/>
        </w:rPr>
        <w:t xml:space="preserve">1. Descripción de la compilación</w:t>
      </w:r>
    </w:p>
    <w:p>
      <w:pPr>
        <w:spacing w:after="120" w:before="60"/>
      </w:pPr>
      <w:r>
        <w:rPr>
          <w:rFonts w:ascii="Calibri" w:cs="Calibri" w:eastAsia="Calibri" w:hAnsi="Calibri"/>
          <w:color w:val="1A2B3C"/>
          <w:sz w:val="22"/>
          <w:szCs w:val="22"/>
        </w:rPr>
        <w:t xml:space="preserve">El Corpus CFH es una base de anotaciones lingüísticas originales sobre fragmentos de documentos judiciales colombianos relacionados con el Macrocaso 003 de la Jurisdicción Especial para la Paz (JEP) — ejecuciones extrajudiciales denominadas "falsos positivos". La compilación consiste en 100 fragmentos textuales seleccionados manualmente del corpus judicial CFH (309 documentos, período 1994–2026) y anotados con una taxonomía original de cuatro categorías discursivas diseñada por la autora.</w:t>
      </w:r>
    </w:p>
    <w:p>
      <w:pPr>
        <w:spacing w:after="120" w:before="60"/>
      </w:pPr>
      <w:r>
        <w:rPr>
          <w:rFonts w:ascii="Calibri" w:cs="Calibri" w:eastAsia="Calibri" w:hAnsi="Calibri"/>
          <w:color w:val="1A2B3C"/>
          <w:sz w:val="22"/>
          <w:szCs w:val="22"/>
        </w:rPr>
        <w:t xml:space="preserve">La originalidad de la compilación reside en dos dimensiones: (1) el criterio de selección de los fragmentos, que responde a un método científico de muestreo estratificado por corpus (A, B, C), sección documental y período histórico, diseñado para representar la diversidad discursiva del archivo judicial colombiano sobre este caso; y (2) el esquema de categorización original — la taxonomía CFH — que no existía previamente en la literatura y fue desarrollado por la autora como contribución metodológica de la investigación.</w:t>
      </w:r>
    </w:p>
    <w:p>
      <w:pPr>
        <w:spacing w:after="0" w:before="80"/>
      </w:pPr>
    </w:p>
    <w:p>
      <w:pPr>
        <w:pBdr>
          <w:bottom w:val="single" w:color="2E6A7C" w:sz="4" w:space="1"/>
        </w:pBdr>
        <w:spacing w:after="180" w:before="360"/>
      </w:pPr>
      <w:r>
        <w:rPr>
          <w:rFonts w:ascii="Cambria" w:cs="Cambria" w:eastAsia="Cambria" w:hAnsi="Cambria"/>
          <w:b/>
          <w:bCs/>
          <w:color w:val="1A2B3C"/>
          <w:sz w:val="28"/>
          <w:szCs w:val="28"/>
        </w:rPr>
        <w:t xml:space="preserve">2. Taxonomía de anotación CFH — criterio original de organización</w:t>
      </w:r>
    </w:p>
    <w:p>
      <w:pPr>
        <w:spacing w:after="120" w:before="60"/>
      </w:pPr>
      <w:r>
        <w:rPr>
          <w:rFonts w:ascii="Calibri" w:cs="Calibri" w:eastAsia="Calibri" w:hAnsi="Calibri"/>
          <w:color w:val="1A2B3C"/>
          <w:sz w:val="22"/>
          <w:szCs w:val="22"/>
        </w:rPr>
        <w:t xml:space="preserve">La taxonomía CFH es el criterio intelectual original que organiza y da sentido a la compilación. Consta de cuatro categorías operacionalmente definidas: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126"/>
      </w:tblGrid>
      <w:tr>
        <w:tc>
          <w:tcPr>
            <w:tcW w:type="dxa" w:w="900"/>
            <w:tcBorders>
              <w:top w:val="single" w:color="DDE3E8" w:sz="1"/>
              <w:left w:val="single" w:color="DDE3E8" w:sz="1"/>
              <w:bottom w:val="single" w:color="DDE3E8" w:sz="1"/>
              <w:right w:val="single" w:color="DDE3E8" w:sz="1"/>
            </w:tcBorders>
            <w:shd w:fill="1A2B3C" w:val="clear"/>
            <w:tcMar>
              <w:top w:type="dxa" w:w="80"/>
              <w:left w:type="dxa" w:w="120"/>
              <w:bottom w:type="dxa" w:w="80"/>
              <w:right w:type="dxa" w:w="120"/>
            </w:tcMar>
          </w:tcPr>
          <w:p>
            <w:r>
              <w:rPr>
                <w:rFonts w:ascii="Calibri" w:cs="Calibri" w:eastAsia="Calibri" w:hAnsi="Calibri"/>
                <w:b/>
                <w:bCs/>
                <w:color w:val="FFFFFF"/>
                <w:sz w:val="20"/>
                <w:szCs w:val="20"/>
              </w:rPr>
              <w:t xml:space="preserve">Código</w:t>
            </w:r>
          </w:p>
        </w:tc>
        <w:tc>
          <w:tcPr>
            <w:tcW w:type="dxa" w:w="2000"/>
            <w:tcBorders>
              <w:top w:val="single" w:color="DDE3E8" w:sz="1"/>
              <w:left w:val="single" w:color="DDE3E8" w:sz="1"/>
              <w:bottom w:val="single" w:color="DDE3E8" w:sz="1"/>
              <w:right w:val="single" w:color="DDE3E8" w:sz="1"/>
            </w:tcBorders>
            <w:shd w:fill="1A2B3C" w:val="clear"/>
            <w:tcMar>
              <w:top w:type="dxa" w:w="80"/>
              <w:left w:type="dxa" w:w="120"/>
              <w:bottom w:type="dxa" w:w="80"/>
              <w:right w:type="dxa" w:w="120"/>
            </w:tcMar>
          </w:tcPr>
          <w:p>
            <w:r>
              <w:rPr>
                <w:rFonts w:ascii="Calibri" w:cs="Calibri" w:eastAsia="Calibri" w:hAnsi="Calibri"/>
                <w:b/>
                <w:bCs/>
                <w:color w:val="FFFFFF"/>
                <w:sz w:val="20"/>
                <w:szCs w:val="20"/>
              </w:rPr>
              <w:t xml:space="preserve">Nombre</w:t>
            </w:r>
          </w:p>
        </w:tc>
        <w:tc>
          <w:tcPr>
            <w:tcW w:type="dxa" w:w="6126"/>
            <w:tcBorders>
              <w:top w:val="single" w:color="DDE3E8" w:sz="1"/>
              <w:left w:val="single" w:color="DDE3E8" w:sz="1"/>
              <w:bottom w:val="single" w:color="DDE3E8" w:sz="1"/>
              <w:right w:val="single" w:color="DDE3E8" w:sz="1"/>
            </w:tcBorders>
            <w:shd w:fill="1A2B3C" w:val="clear"/>
            <w:tcMar>
              <w:top w:type="dxa" w:w="80"/>
              <w:left w:type="dxa" w:w="120"/>
              <w:bottom w:type="dxa" w:w="80"/>
              <w:right w:type="dxa" w:w="120"/>
            </w:tcMar>
          </w:tcPr>
          <w:p>
            <w:r>
              <w:rPr>
                <w:rFonts w:ascii="Calibri" w:cs="Calibri" w:eastAsia="Calibri" w:hAnsi="Calibri"/>
                <w:b/>
                <w:bCs/>
                <w:color w:val="FFFFFF"/>
                <w:sz w:val="20"/>
                <w:szCs w:val="20"/>
              </w:rPr>
              <w:t xml:space="preserve">Definición operacional</w:t>
            </w:r>
          </w:p>
        </w:tc>
      </w:tr>
      <w:tr>
        <w:tc>
          <w:tcPr>
            <w:tcW w:type="dxa" w:w="900"/>
            <w:tcBorders>
              <w:top w:val="single" w:color="DDE3E8" w:sz="1"/>
              <w:left w:val="single" w:color="DDE3E8" w:sz="1"/>
              <w:bottom w:val="single" w:color="DDE3E8" w:sz="1"/>
              <w:right w:val="single" w:color="DDE3E8" w:sz="1"/>
            </w:tcBorders>
            <w:shd w:fill="E8EDF2" w:val="clear"/>
            <w:tcMar>
              <w:top w:type="dxa" w:w="80"/>
              <w:left w:type="dxa" w:w="120"/>
              <w:bottom w:type="dxa" w:w="80"/>
              <w:right w:type="dxa" w:w="120"/>
            </w:tcMar>
          </w:tcPr>
          <w:p>
            <w:r>
              <w:rPr>
                <w:rFonts w:ascii="Calibri" w:cs="Calibri" w:eastAsia="Calibri" w:hAnsi="Calibri"/>
                <w:b/>
                <w:bCs/>
                <w:color w:val="2E6A7C"/>
                <w:sz w:val="20"/>
                <w:szCs w:val="20"/>
              </w:rPr>
              <w:t xml:space="preserve">EBI</w:t>
            </w:r>
          </w:p>
        </w:tc>
        <w:tc>
          <w:tcPr>
            <w:tcW w:type="dxa" w:w="2000"/>
            <w:tcBorders>
              <w:top w:val="single" w:color="DDE3E8" w:sz="1"/>
              <w:left w:val="single" w:color="DDE3E8" w:sz="1"/>
              <w:bottom w:val="single" w:color="DDE3E8" w:sz="1"/>
              <w:right w:val="single" w:color="DDE3E8" w:sz="1"/>
            </w:tcBorders>
            <w:shd w:fill="F8F9FA" w:val="clear"/>
            <w:tcMar>
              <w:top w:type="dxa" w:w="80"/>
              <w:left w:type="dxa" w:w="120"/>
              <w:bottom w:type="dxa" w:w="80"/>
              <w:right w:type="dxa" w:w="120"/>
            </w:tcMar>
          </w:tcPr>
          <w:p>
            <w:r>
              <w:rPr>
                <w:rFonts w:ascii="Calibri" w:cs="Calibri" w:eastAsia="Calibri" w:hAnsi="Calibri"/>
                <w:b/>
                <w:bCs/>
                <w:color w:val="1A2B3C"/>
                <w:sz w:val="20"/>
                <w:szCs w:val="20"/>
              </w:rPr>
              <w:t xml:space="preserve">Eufemismo Bélico-Institucional</w:t>
            </w:r>
          </w:p>
        </w:tc>
        <w:tc>
          <w:tcPr>
            <w:tcW w:type="dxa" w:w="6126"/>
            <w:tcBorders>
              <w:top w:val="single" w:color="DDE3E8" w:sz="1"/>
              <w:left w:val="single" w:color="DDE3E8" w:sz="1"/>
              <w:bottom w:val="single" w:color="DDE3E8" w:sz="1"/>
              <w:right w:val="single" w:color="DDE3E8" w:sz="1"/>
            </w:tcBorders>
            <w:shd w:fill="FFFFFF" w:val="clear"/>
            <w:tcMar>
              <w:top w:type="dxa" w:w="80"/>
              <w:left w:type="dxa" w:w="120"/>
              <w:bottom w:type="dxa" w:w="80"/>
              <w:right w:type="dxa" w:w="120"/>
            </w:tcMar>
          </w:tcPr>
          <w:p>
            <w:r>
              <w:rPr>
                <w:rFonts w:ascii="Calibri" w:cs="Calibri" w:eastAsia="Calibri" w:hAnsi="Calibri"/>
                <w:color w:val="1A2B3C"/>
                <w:sz w:val="20"/>
                <w:szCs w:val="20"/>
              </w:rPr>
              <w:t xml:space="preserve">Vocabulario militar-burocrático que invisibiliza el homicidio de civiles mediante sustitución léxica institucionalizada. Opera sobre el léxico. Ejemplos: "resultado operacional positivo", "baja en combate", "persona dada de baja".</w:t>
            </w:r>
          </w:p>
        </w:tc>
      </w:tr>
      <w:tr>
        <w:tc>
          <w:tcPr>
            <w:tcW w:type="dxa" w:w="900"/>
            <w:tcBorders>
              <w:top w:val="single" w:color="DDE3E8" w:sz="1"/>
              <w:left w:val="single" w:color="DDE3E8" w:sz="1"/>
              <w:bottom w:val="single" w:color="DDE3E8" w:sz="1"/>
              <w:right w:val="single" w:color="DDE3E8" w:sz="1"/>
            </w:tcBorders>
            <w:shd w:fill="E8EDF2" w:val="clear"/>
            <w:tcMar>
              <w:top w:type="dxa" w:w="80"/>
              <w:left w:type="dxa" w:w="120"/>
              <w:bottom w:type="dxa" w:w="80"/>
              <w:right w:type="dxa" w:w="120"/>
            </w:tcMar>
          </w:tcPr>
          <w:p>
            <w:r>
              <w:rPr>
                <w:rFonts w:ascii="Calibri" w:cs="Calibri" w:eastAsia="Calibri" w:hAnsi="Calibri"/>
                <w:b/>
                <w:bCs/>
                <w:color w:val="2E6A7C"/>
                <w:sz w:val="20"/>
                <w:szCs w:val="20"/>
              </w:rPr>
              <w:t xml:space="preserve">SA</w:t>
            </w:r>
          </w:p>
        </w:tc>
        <w:tc>
          <w:tcPr>
            <w:tcW w:type="dxa" w:w="2000"/>
            <w:tcBorders>
              <w:top w:val="single" w:color="DDE3E8" w:sz="1"/>
              <w:left w:val="single" w:color="DDE3E8" w:sz="1"/>
              <w:bottom w:val="single" w:color="DDE3E8" w:sz="1"/>
              <w:right w:val="single" w:color="DDE3E8" w:sz="1"/>
            </w:tcBorders>
            <w:shd w:fill="F8F9FA" w:val="clear"/>
            <w:tcMar>
              <w:top w:type="dxa" w:w="80"/>
              <w:left w:type="dxa" w:w="120"/>
              <w:bottom w:type="dxa" w:w="80"/>
              <w:right w:type="dxa" w:w="120"/>
            </w:tcMar>
          </w:tcPr>
          <w:p>
            <w:r>
              <w:rPr>
                <w:rFonts w:ascii="Calibri" w:cs="Calibri" w:eastAsia="Calibri" w:hAnsi="Calibri"/>
                <w:b/>
                <w:bCs/>
                <w:color w:val="1A2B3C"/>
                <w:sz w:val="20"/>
                <w:szCs w:val="20"/>
              </w:rPr>
              <w:t xml:space="preserve">Supresión de Agentividad</w:t>
            </w:r>
          </w:p>
        </w:tc>
        <w:tc>
          <w:tcPr>
            <w:tcW w:type="dxa" w:w="6126"/>
            <w:tcBorders>
              <w:top w:val="single" w:color="DDE3E8" w:sz="1"/>
              <w:left w:val="single" w:color="DDE3E8" w:sz="1"/>
              <w:bottom w:val="single" w:color="DDE3E8" w:sz="1"/>
              <w:right w:val="single" w:color="DDE3E8" w:sz="1"/>
            </w:tcBorders>
            <w:shd w:fill="FFFFFF" w:val="clear"/>
            <w:tcMar>
              <w:top w:type="dxa" w:w="80"/>
              <w:left w:type="dxa" w:w="120"/>
              <w:bottom w:type="dxa" w:w="80"/>
              <w:right w:type="dxa" w:w="120"/>
            </w:tcMar>
          </w:tcPr>
          <w:p>
            <w:r>
              <w:rPr>
                <w:rFonts w:ascii="Calibri" w:cs="Calibri" w:eastAsia="Calibri" w:hAnsi="Calibri"/>
                <w:color w:val="1A2B3C"/>
                <w:sz w:val="20"/>
                <w:szCs w:val="20"/>
              </w:rPr>
              <w:t xml:space="preserve">Construcciones gramaticales que ocultan al agente responsable de una acción. Opera sobre la sintaxis. Incluye pasivas impersonales, nominalizaciones y construcciones con "se" que eliminan al sujeto activo.</w:t>
            </w:r>
          </w:p>
        </w:tc>
      </w:tr>
      <w:tr>
        <w:tc>
          <w:tcPr>
            <w:tcW w:type="dxa" w:w="900"/>
            <w:tcBorders>
              <w:top w:val="single" w:color="DDE3E8" w:sz="1"/>
              <w:left w:val="single" w:color="DDE3E8" w:sz="1"/>
              <w:bottom w:val="single" w:color="DDE3E8" w:sz="1"/>
              <w:right w:val="single" w:color="DDE3E8" w:sz="1"/>
            </w:tcBorders>
            <w:shd w:fill="E8EDF2" w:val="clear"/>
            <w:tcMar>
              <w:top w:type="dxa" w:w="80"/>
              <w:left w:type="dxa" w:w="120"/>
              <w:bottom w:type="dxa" w:w="80"/>
              <w:right w:type="dxa" w:w="120"/>
            </w:tcMar>
          </w:tcPr>
          <w:p>
            <w:r>
              <w:rPr>
                <w:rFonts w:ascii="Calibri" w:cs="Calibri" w:eastAsia="Calibri" w:hAnsi="Calibri"/>
                <w:b/>
                <w:bCs/>
                <w:color w:val="2E6A7C"/>
                <w:sz w:val="20"/>
                <w:szCs w:val="20"/>
              </w:rPr>
              <w:t xml:space="preserve">NV</w:t>
            </w:r>
          </w:p>
        </w:tc>
        <w:tc>
          <w:tcPr>
            <w:tcW w:type="dxa" w:w="2000"/>
            <w:tcBorders>
              <w:top w:val="single" w:color="DDE3E8" w:sz="1"/>
              <w:left w:val="single" w:color="DDE3E8" w:sz="1"/>
              <w:bottom w:val="single" w:color="DDE3E8" w:sz="1"/>
              <w:right w:val="single" w:color="DDE3E8" w:sz="1"/>
            </w:tcBorders>
            <w:shd w:fill="F8F9FA" w:val="clear"/>
            <w:tcMar>
              <w:top w:type="dxa" w:w="80"/>
              <w:left w:type="dxa" w:w="120"/>
              <w:bottom w:type="dxa" w:w="80"/>
              <w:right w:type="dxa" w:w="120"/>
            </w:tcMar>
          </w:tcPr>
          <w:p>
            <w:r>
              <w:rPr>
                <w:rFonts w:ascii="Calibri" w:cs="Calibri" w:eastAsia="Calibri" w:hAnsi="Calibri"/>
                <w:b/>
                <w:bCs/>
                <w:color w:val="1A2B3C"/>
                <w:sz w:val="20"/>
                <w:szCs w:val="20"/>
              </w:rPr>
              <w:t xml:space="preserve">Negación de Victimización</w:t>
            </w:r>
          </w:p>
        </w:tc>
        <w:tc>
          <w:tcPr>
            <w:tcW w:type="dxa" w:w="6126"/>
            <w:tcBorders>
              <w:top w:val="single" w:color="DDE3E8" w:sz="1"/>
              <w:left w:val="single" w:color="DDE3E8" w:sz="1"/>
              <w:bottom w:val="single" w:color="DDE3E8" w:sz="1"/>
              <w:right w:val="single" w:color="DDE3E8" w:sz="1"/>
            </w:tcBorders>
            <w:shd w:fill="FFFFFF" w:val="clear"/>
            <w:tcMar>
              <w:top w:type="dxa" w:w="80"/>
              <w:left w:type="dxa" w:w="120"/>
              <w:bottom w:type="dxa" w:w="80"/>
              <w:right w:type="dxa" w:w="120"/>
            </w:tcMar>
          </w:tcPr>
          <w:p>
            <w:r>
              <w:rPr>
                <w:rFonts w:ascii="Calibri" w:cs="Calibri" w:eastAsia="Calibri" w:hAnsi="Calibri"/>
                <w:color w:val="1A2B3C"/>
                <w:sz w:val="20"/>
                <w:szCs w:val="20"/>
              </w:rPr>
              <w:t xml:space="preserve">Atribución de identidad combatiente o criminal a personas asesinadas como civiles. Opera sobre la categorización del sujeto. Niega el estatuto de víctima y reclasifica al civil como combatiente legítimo.</w:t>
            </w:r>
          </w:p>
        </w:tc>
      </w:tr>
      <w:tr>
        <w:tc>
          <w:tcPr>
            <w:tcW w:type="dxa" w:w="900"/>
            <w:tcBorders>
              <w:top w:val="single" w:color="DDE3E8" w:sz="1"/>
              <w:left w:val="single" w:color="DDE3E8" w:sz="1"/>
              <w:bottom w:val="single" w:color="DDE3E8" w:sz="1"/>
              <w:right w:val="single" w:color="DDE3E8" w:sz="1"/>
            </w:tcBorders>
            <w:shd w:fill="E8EDF2" w:val="clear"/>
            <w:tcMar>
              <w:top w:type="dxa" w:w="80"/>
              <w:left w:type="dxa" w:w="120"/>
              <w:bottom w:type="dxa" w:w="80"/>
              <w:right w:type="dxa" w:w="120"/>
            </w:tcMar>
          </w:tcPr>
          <w:p>
            <w:r>
              <w:rPr>
                <w:rFonts w:ascii="Calibri" w:cs="Calibri" w:eastAsia="Calibri" w:hAnsi="Calibri"/>
                <w:b/>
                <w:bCs/>
                <w:color w:val="2E6A7C"/>
                <w:sz w:val="20"/>
                <w:szCs w:val="20"/>
              </w:rPr>
              <w:t xml:space="preserve">REP</w:t>
            </w:r>
          </w:p>
        </w:tc>
        <w:tc>
          <w:tcPr>
            <w:tcW w:type="dxa" w:w="2000"/>
            <w:tcBorders>
              <w:top w:val="single" w:color="DDE3E8" w:sz="1"/>
              <w:left w:val="single" w:color="DDE3E8" w:sz="1"/>
              <w:bottom w:val="single" w:color="DDE3E8" w:sz="1"/>
              <w:right w:val="single" w:color="DDE3E8" w:sz="1"/>
            </w:tcBorders>
            <w:shd w:fill="F8F9FA" w:val="clear"/>
            <w:tcMar>
              <w:top w:type="dxa" w:w="80"/>
              <w:left w:type="dxa" w:w="120"/>
              <w:bottom w:type="dxa" w:w="80"/>
              <w:right w:type="dxa" w:w="120"/>
            </w:tcMar>
          </w:tcPr>
          <w:p>
            <w:r>
              <w:rPr>
                <w:rFonts w:ascii="Calibri" w:cs="Calibri" w:eastAsia="Calibri" w:hAnsi="Calibri"/>
                <w:b/>
                <w:bCs/>
                <w:color w:val="1A2B3C"/>
                <w:sz w:val="20"/>
                <w:szCs w:val="20"/>
              </w:rPr>
              <w:t xml:space="preserve">Ruptura Epistémica Positiva</w:t>
            </w:r>
          </w:p>
        </w:tc>
        <w:tc>
          <w:tcPr>
            <w:tcW w:type="dxa" w:w="6126"/>
            <w:tcBorders>
              <w:top w:val="single" w:color="DDE3E8" w:sz="1"/>
              <w:left w:val="single" w:color="DDE3E8" w:sz="1"/>
              <w:bottom w:val="single" w:color="DDE3E8" w:sz="1"/>
              <w:right w:val="single" w:color="DDE3E8" w:sz="1"/>
            </w:tcBorders>
            <w:shd w:fill="FFFFFF" w:val="clear"/>
            <w:tcMar>
              <w:top w:type="dxa" w:w="80"/>
              <w:left w:type="dxa" w:w="120"/>
              <w:bottom w:type="dxa" w:w="80"/>
              <w:right w:type="dxa" w:w="120"/>
            </w:tcMar>
          </w:tcPr>
          <w:p>
            <w:r>
              <w:rPr>
                <w:rFonts w:ascii="Calibri" w:cs="Calibri" w:eastAsia="Calibri" w:hAnsi="Calibri"/>
                <w:color w:val="1A2B3C"/>
                <w:sz w:val="20"/>
                <w:szCs w:val="20"/>
              </w:rPr>
              <w:t xml:space="preserve">Lenguaje que devuelve a las víctimas su condición de personas civiles y nombra la responsabilidad de los perpetradores. Polo opuesto de los tres anteriores. Indica transición hacia el reconocimiento discursivo.</w:t>
            </w:r>
          </w:p>
        </w:tc>
      </w:tr>
    </w:tbl>
    <w:p>
      <w:pPr>
        <w:spacing w:after="0" w:before="80"/>
      </w:pPr>
    </w:p>
    <w:p>
      <w:pPr>
        <w:spacing w:after="0" w:before="80"/>
      </w:pPr>
    </w:p>
    <w:p>
      <w:pPr>
        <w:pBdr>
          <w:bottom w:val="single" w:color="2E6A7C" w:sz="4" w:space="1"/>
        </w:pBdr>
        <w:spacing w:after="180" w:before="360"/>
      </w:pPr>
      <w:r>
        <w:rPr>
          <w:rFonts w:ascii="Cambria" w:cs="Cambria" w:eastAsia="Cambria" w:hAnsi="Cambria"/>
          <w:b/>
          <w:bCs/>
          <w:color w:val="1A2B3C"/>
          <w:sz w:val="28"/>
          <w:szCs w:val="28"/>
        </w:rPr>
        <w:t xml:space="preserve">3. Descripción del corpus fuente</w:t>
      </w:r>
    </w:p>
    <w:p>
      <w:pPr>
        <w:spacing w:after="120" w:before="60"/>
      </w:pPr>
      <w:r>
        <w:rPr>
          <w:rFonts w:ascii="Calibri" w:cs="Calibri" w:eastAsia="Calibri" w:hAnsi="Calibri"/>
          <w:color w:val="1A2B3C"/>
          <w:sz w:val="22"/>
          <w:szCs w:val="22"/>
        </w:rPr>
        <w:t xml:space="preserve">Los fragmentos anotados fueron seleccionados del archivo judicial colombiano procesado en el proyecto CFH, que abarca:</w:t>
      </w:r>
    </w:p>
    <w:p>
      <w:pPr>
        <w:spacing w:after="40" w:before="40"/>
        <w:ind w:left="720" w:hanging="360"/>
      </w:pPr>
      <w:r>
        <w:rPr>
          <w:rFonts w:ascii="Calibri" w:cs="Calibri" w:eastAsia="Calibri" w:hAnsi="Calibri"/>
          <w:b/>
          <w:bCs/>
          <w:color w:val="2E6A7C"/>
          <w:sz w:val="22"/>
          <w:szCs w:val="22"/>
        </w:rPr>
        <w:t xml:space="preserve">— </w:t>
      </w:r>
      <w:r>
        <w:rPr>
          <w:rFonts w:ascii="Calibri" w:cs="Calibri" w:eastAsia="Calibri" w:hAnsi="Calibri"/>
          <w:color w:val="1A2B3C"/>
          <w:sz w:val="22"/>
          <w:szCs w:val="22"/>
        </w:rPr>
        <w:t xml:space="preserve">Corpus A-CE: ~200 sentencias del Consejo de Estado sobre reparación directa (1994–2021)</w:t>
      </w:r>
    </w:p>
    <w:p>
      <w:pPr>
        <w:spacing w:after="40" w:before="40"/>
        <w:ind w:left="720" w:hanging="360"/>
      </w:pPr>
      <w:r>
        <w:rPr>
          <w:rFonts w:ascii="Calibri" w:cs="Calibri" w:eastAsia="Calibri" w:hAnsi="Calibri"/>
          <w:b/>
          <w:bCs/>
          <w:color w:val="2E6A7C"/>
          <w:sz w:val="22"/>
          <w:szCs w:val="22"/>
        </w:rPr>
        <w:t xml:space="preserve">— </w:t>
      </w:r>
      <w:r>
        <w:rPr>
          <w:rFonts w:ascii="Calibri" w:cs="Calibri" w:eastAsia="Calibri" w:hAnsi="Calibri"/>
          <w:color w:val="1A2B3C"/>
          <w:sz w:val="22"/>
          <w:szCs w:val="22"/>
        </w:rPr>
        <w:t xml:space="preserve">Corpus A-CSJ: ~86 sentencias de la Corte Suprema de Justicia, Sala Penal, casación (2012–2020)</w:t>
      </w:r>
    </w:p>
    <w:p>
      <w:pPr>
        <w:spacing w:after="40" w:before="40"/>
        <w:ind w:left="720" w:hanging="360"/>
      </w:pPr>
      <w:r>
        <w:rPr>
          <w:rFonts w:ascii="Calibri" w:cs="Calibri" w:eastAsia="Calibri" w:hAnsi="Calibri"/>
          <w:b/>
          <w:bCs/>
          <w:color w:val="2E6A7C"/>
          <w:sz w:val="22"/>
          <w:szCs w:val="22"/>
        </w:rPr>
        <w:t xml:space="preserve">— </w:t>
      </w:r>
      <w:r>
        <w:rPr>
          <w:rFonts w:ascii="Calibri" w:cs="Calibri" w:eastAsia="Calibri" w:hAnsi="Calibri"/>
          <w:color w:val="1A2B3C"/>
          <w:sz w:val="22"/>
          <w:szCs w:val="22"/>
        </w:rPr>
        <w:t xml:space="preserve">Corpus B-JEP: 9 autos y resoluciones de la Sala de Reconocimiento de Verdad, Responsabilidad y Determinación de los Hechos y Conductas — SeRVR (2021–2024)</w:t>
      </w:r>
    </w:p>
    <w:p>
      <w:pPr>
        <w:spacing w:after="40" w:before="40"/>
        <w:ind w:left="720" w:hanging="360"/>
      </w:pPr>
      <w:r>
        <w:rPr>
          <w:rFonts w:ascii="Calibri" w:cs="Calibri" w:eastAsia="Calibri" w:hAnsi="Calibri"/>
          <w:b/>
          <w:bCs/>
          <w:color w:val="2E6A7C"/>
          <w:sz w:val="22"/>
          <w:szCs w:val="22"/>
        </w:rPr>
        <w:t xml:space="preserve">— </w:t>
      </w:r>
      <w:r>
        <w:rPr>
          <w:rFonts w:ascii="Calibri" w:cs="Calibri" w:eastAsia="Calibri" w:hAnsi="Calibri"/>
          <w:color w:val="1A2B3C"/>
          <w:sz w:val="22"/>
          <w:szCs w:val="22"/>
        </w:rPr>
        <w:t xml:space="preserve">Corpus C-JEP oral: 5 audiencias públicas de reconocimiento (2022–2024) — 45.9 horas, 1.17 millones de caracteres</w:t>
      </w:r>
    </w:p>
    <w:p>
      <w:pPr>
        <w:spacing w:after="120" w:before="60"/>
      </w:pPr>
      <w:r>
        <w:rPr>
          <w:rFonts w:ascii="Calibri" w:cs="Calibri" w:eastAsia="Calibri" w:hAnsi="Calibri"/>
          <w:color w:val="1A2B3C"/>
          <w:sz w:val="22"/>
          <w:szCs w:val="22"/>
        </w:rPr>
        <w:t xml:space="preserve">Todos los documentos del corpus fuente son documentos públicos producidos por entidades estatales colombianas y disponibles en los repositorios públicos de la JEP, el Consejo de Estado y la Corte Suprema.</w:t>
      </w:r>
    </w:p>
    <w:p>
      <w:pPr>
        <w:spacing w:after="0" w:before="80"/>
      </w:pPr>
    </w:p>
    <w:p>
      <w:pPr>
        <w:pBdr>
          <w:bottom w:val="single" w:color="2E6A7C" w:sz="4" w:space="1"/>
        </w:pBdr>
        <w:spacing w:after="180" w:before="360"/>
      </w:pPr>
      <w:r>
        <w:rPr>
          <w:rFonts w:ascii="Cambria" w:cs="Cambria" w:eastAsia="Cambria" w:hAnsi="Cambria"/>
          <w:b/>
          <w:bCs/>
          <w:color w:val="1A2B3C"/>
          <w:sz w:val="28"/>
          <w:szCs w:val="28"/>
        </w:rPr>
        <w:t xml:space="preserve">4. Muestra representativa de anotaciones</w:t>
      </w:r>
    </w:p>
    <w:p>
      <w:pPr>
        <w:spacing w:after="120" w:before="60"/>
      </w:pPr>
      <w:r>
        <w:rPr>
          <w:rFonts w:ascii="Calibri" w:cs="Calibri" w:eastAsia="Calibri" w:hAnsi="Calibri"/>
          <w:color w:val="1A2B3C"/>
          <w:sz w:val="22"/>
          <w:szCs w:val="22"/>
        </w:rPr>
        <w:t xml:space="preserve">A continuación se presentan 20 fragmentos representativos del corpus anotado, seleccionados para ilustrar cada categoría de la taxonomía CFH en distintos subcorpora y períodos históricos. La base completa de 100 anotaciones está disponible en el repositorio del proyecto.</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700"/>
        <w:gridCol w:w="3826"/>
      </w:tblGrid>
      <w:tr>
        <w:tc>
          <w:tcPr>
            <w:tcW w:type="dxa" w:w="500"/>
            <w:tcBorders>
              <w:top w:val="single" w:color="DDE3E8" w:sz="1"/>
              <w:left w:val="single" w:color="DDE3E8" w:sz="1"/>
              <w:bottom w:val="single" w:color="DDE3E8" w:sz="1"/>
              <w:right w:val="single" w:color="DDE3E8" w:sz="1"/>
            </w:tcBorders>
            <w:shd w:fill="1A2B3C" w:val="clear"/>
            <w:tcMar>
              <w:top w:type="dxa" w:w="80"/>
              <w:left w:type="dxa" w:w="100"/>
              <w:bottom w:type="dxa" w:w="80"/>
              <w:right w:type="dxa" w:w="100"/>
            </w:tcMar>
          </w:tcPr>
          <w:p>
            <w:r>
              <w:rPr>
                <w:rFonts w:ascii="Calibri" w:cs="Calibri" w:eastAsia="Calibri" w:hAnsi="Calibri"/>
                <w:b/>
                <w:bCs/>
                <w:color w:val="FFFFFF"/>
                <w:sz w:val="18"/>
                <w:szCs w:val="18"/>
              </w:rPr>
              <w:t xml:space="preserve">ID</w:t>
            </w:r>
          </w:p>
        </w:tc>
        <w:tc>
          <w:tcPr>
            <w:tcW w:type="dxa" w:w="4000"/>
            <w:tcBorders>
              <w:top w:val="single" w:color="DDE3E8" w:sz="1"/>
              <w:left w:val="single" w:color="DDE3E8" w:sz="1"/>
              <w:bottom w:val="single" w:color="DDE3E8" w:sz="1"/>
              <w:right w:val="single" w:color="DDE3E8" w:sz="1"/>
            </w:tcBorders>
            <w:shd w:fill="1A2B3C" w:val="clear"/>
            <w:tcMar>
              <w:top w:type="dxa" w:w="80"/>
              <w:left w:type="dxa" w:w="100"/>
              <w:bottom w:type="dxa" w:w="80"/>
              <w:right w:type="dxa" w:w="100"/>
            </w:tcMar>
          </w:tcPr>
          <w:p>
            <w:r>
              <w:rPr>
                <w:rFonts w:ascii="Calibri" w:cs="Calibri" w:eastAsia="Calibri" w:hAnsi="Calibri"/>
                <w:b/>
                <w:bCs/>
                <w:color w:val="FFFFFF"/>
                <w:sz w:val="18"/>
                <w:szCs w:val="18"/>
              </w:rPr>
              <w:t xml:space="preserve">Fragmento textual</w:t>
            </w:r>
          </w:p>
        </w:tc>
        <w:tc>
          <w:tcPr>
            <w:tcW w:type="dxa" w:w="700"/>
            <w:tcBorders>
              <w:top w:val="single" w:color="DDE3E8" w:sz="1"/>
              <w:left w:val="single" w:color="DDE3E8" w:sz="1"/>
              <w:bottom w:val="single" w:color="DDE3E8" w:sz="1"/>
              <w:right w:val="single" w:color="DDE3E8" w:sz="1"/>
            </w:tcBorders>
            <w:shd w:fill="1A2B3C" w:val="clear"/>
            <w:tcMar>
              <w:top w:type="dxa" w:w="80"/>
              <w:left w:type="dxa" w:w="100"/>
              <w:bottom w:type="dxa" w:w="80"/>
              <w:right w:type="dxa" w:w="100"/>
            </w:tcMar>
          </w:tcPr>
          <w:p>
            <w:r>
              <w:rPr>
                <w:rFonts w:ascii="Calibri" w:cs="Calibri" w:eastAsia="Calibri" w:hAnsi="Calibri"/>
                <w:b/>
                <w:bCs/>
                <w:color w:val="FFFFFF"/>
                <w:sz w:val="18"/>
                <w:szCs w:val="18"/>
              </w:rPr>
              <w:t xml:space="preserve">Etiq.</w:t>
            </w:r>
          </w:p>
        </w:tc>
        <w:tc>
          <w:tcPr>
            <w:tcW w:type="dxa" w:w="3826"/>
            <w:tcBorders>
              <w:top w:val="single" w:color="DDE3E8" w:sz="1"/>
              <w:left w:val="single" w:color="DDE3E8" w:sz="1"/>
              <w:bottom w:val="single" w:color="DDE3E8" w:sz="1"/>
              <w:right w:val="single" w:color="DDE3E8" w:sz="1"/>
            </w:tcBorders>
            <w:shd w:fill="1A2B3C" w:val="clear"/>
            <w:tcMar>
              <w:top w:type="dxa" w:w="80"/>
              <w:left w:type="dxa" w:w="100"/>
              <w:bottom w:type="dxa" w:w="80"/>
              <w:right w:type="dxa" w:w="100"/>
            </w:tcMar>
          </w:tcPr>
          <w:p>
            <w:r>
              <w:rPr>
                <w:rFonts w:ascii="Calibri" w:cs="Calibri" w:eastAsia="Calibri" w:hAnsi="Calibri"/>
                <w:b/>
                <w:bCs/>
                <w:color w:val="FFFFFF"/>
                <w:sz w:val="18"/>
                <w:szCs w:val="18"/>
              </w:rPr>
              <w:t xml:space="preserve">Justificación de la anotación</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A001</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resultado operacional positivo obtenido en zona de distensión</w:t>
            </w:r>
          </w:p>
        </w:tc>
        <w:tc>
          <w:tcPr>
            <w:tcW w:type="dxa" w:w="700"/>
            <w:tcBorders>
              <w:top w:val="single" w:color="DDE3E8" w:sz="1"/>
              <w:left w:val="single" w:color="DDE3E8" w:sz="1"/>
              <w:bottom w:val="single" w:color="DDE3E8" w:sz="1"/>
              <w:right w:val="single" w:color="DDE3E8" w:sz="1"/>
            </w:tcBorders>
            <w:shd w:fill="2E6A7C"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EBI</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Sustitución del homicidio de un civil por terminología de operaciones militares exitosas. El adjetivo "positivo" invierte el valor moral del acto.</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A002</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baja en combate confirmada por el comandante de la unidad táctica</w:t>
            </w:r>
          </w:p>
        </w:tc>
        <w:tc>
          <w:tcPr>
            <w:tcW w:type="dxa" w:w="700"/>
            <w:tcBorders>
              <w:top w:val="single" w:color="DDE3E8" w:sz="1"/>
              <w:left w:val="single" w:color="DDE3E8" w:sz="1"/>
              <w:bottom w:val="single" w:color="DDE3E8" w:sz="1"/>
              <w:right w:val="single" w:color="DDE3E8" w:sz="1"/>
            </w:tcBorders>
            <w:shd w:fill="2E6A7C"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EBI</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"Baja" es eufemismo militar estándar para muerte. "En combate" reclasifica el asesinato como acción bélica legítima.</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A003</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el individuo fue neutralizado tras intercambio de disparos con tropas regulares</w:t>
            </w:r>
          </w:p>
        </w:tc>
        <w:tc>
          <w:tcPr>
            <w:tcW w:type="dxa" w:w="700"/>
            <w:tcBorders>
              <w:top w:val="single" w:color="DDE3E8" w:sz="1"/>
              <w:left w:val="single" w:color="DDE3E8" w:sz="1"/>
              <w:bottom w:val="single" w:color="DDE3E8" w:sz="1"/>
              <w:right w:val="single" w:color="DDE3E8" w:sz="1"/>
            </w:tcBorders>
            <w:shd w:fill="2E6A7C"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EBI</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"Neutralizado" es término operacional que sustituye "asesinado". "Intercambio de disparos" presupone combate bilateral que no ocurrió.</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A004</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se reporta abatimiento de elemento subversivo en operación Fuerza Pública</w:t>
            </w:r>
          </w:p>
        </w:tc>
        <w:tc>
          <w:tcPr>
            <w:tcW w:type="dxa" w:w="700"/>
            <w:tcBorders>
              <w:top w:val="single" w:color="DDE3E8" w:sz="1"/>
              <w:left w:val="single" w:color="DDE3E8" w:sz="1"/>
              <w:bottom w:val="single" w:color="DDE3E8" w:sz="1"/>
              <w:right w:val="single" w:color="DDE3E8" w:sz="1"/>
            </w:tcBorders>
            <w:shd w:fill="2E6A7C"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EBI</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"Abatimiento" y "elemento subversivo" son términos de jerga militar que invisibilizan tanto el homicidio como la identidad civil de la víctima.</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A005</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personal militar actuó conforme a los reglamentos vigentes para enfrentamientos armados</w:t>
            </w:r>
          </w:p>
        </w:tc>
        <w:tc>
          <w:tcPr>
            <w:tcW w:type="dxa" w:w="700"/>
            <w:tcBorders>
              <w:top w:val="single" w:color="DDE3E8" w:sz="1"/>
              <w:left w:val="single" w:color="DDE3E8" w:sz="1"/>
              <w:bottom w:val="single" w:color="DDE3E8" w:sz="1"/>
              <w:right w:val="single" w:color="DDE3E8" w:sz="1"/>
            </w:tcBorders>
            <w:shd w:fill="2E6A7C"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EBI</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Reencuadra el asesinato de un civil como conducta reglamentaria en un contexto de enfrentamiento que no existió.</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A006</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se procedió a la incautación de las pertenencias del occiso</w:t>
            </w:r>
          </w:p>
        </w:tc>
        <w:tc>
          <w:tcPr>
            <w:tcW w:type="dxa" w:w="700"/>
            <w:tcBorders>
              <w:top w:val="single" w:color="DDE3E8" w:sz="1"/>
              <w:left w:val="single" w:color="DDE3E8" w:sz="1"/>
              <w:bottom w:val="single" w:color="DDE3E8" w:sz="1"/>
              <w:right w:val="single" w:color="DDE3E8" w:sz="1"/>
            </w:tcBorders>
            <w:shd w:fill="B8722A"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SA</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Pasiva impersonal con "se" que elimina al agente de la incautación. No hay sujeto identificable responsable de la acción.</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A007</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fue ejecutado el procedimiento de verificación de identidad del cuerpo sin vida</w:t>
            </w:r>
          </w:p>
        </w:tc>
        <w:tc>
          <w:tcPr>
            <w:tcW w:type="dxa" w:w="700"/>
            <w:tcBorders>
              <w:top w:val="single" w:color="DDE3E8" w:sz="1"/>
              <w:left w:val="single" w:color="DDE3E8" w:sz="1"/>
              <w:bottom w:val="single" w:color="DDE3E8" w:sz="1"/>
              <w:right w:val="single" w:color="DDE3E8" w:sz="1"/>
            </w:tcBorders>
            <w:shd w:fill="B8722A"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SA</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Nominalización de "ejecutar" + pasiva. El responsable del procedimiento queda gramaticalmente invisible.</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A008</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se determinó que la persona presentaba características de combatiente irregular</w:t>
            </w:r>
          </w:p>
        </w:tc>
        <w:tc>
          <w:tcPr>
            <w:tcW w:type="dxa" w:w="700"/>
            <w:tcBorders>
              <w:top w:val="single" w:color="DDE3E8" w:sz="1"/>
              <w:left w:val="single" w:color="DDE3E8" w:sz="1"/>
              <w:bottom w:val="single" w:color="DDE3E8" w:sz="1"/>
              <w:right w:val="single" w:color="DDE3E8" w:sz="1"/>
            </w:tcBorders>
            <w:shd w:fill="B8722A"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SA</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"Se determinó" es impersonal — no identifica quién tomó la decisión de reclasificar a la víctima como combatiente.</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A009</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el material de inteligencia fue debidamente procesado y archivado según protocolo</w:t>
            </w:r>
          </w:p>
        </w:tc>
        <w:tc>
          <w:tcPr>
            <w:tcW w:type="dxa" w:w="700"/>
            <w:tcBorders>
              <w:top w:val="single" w:color="DDE3E8" w:sz="1"/>
              <w:left w:val="single" w:color="DDE3E8" w:sz="1"/>
              <w:bottom w:val="single" w:color="DDE3E8" w:sz="1"/>
              <w:right w:val="single" w:color="DDE3E8" w:sz="1"/>
            </w:tcBorders>
            <w:shd w:fill="B8722A"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SA</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Cadena de pasivas que invisibiliza a los agentes responsables de producir y archivar documentación falsa.</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A010</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se dio traslado del asunto a la unidad correspondiente para su diligenciamiento</w:t>
            </w:r>
          </w:p>
        </w:tc>
        <w:tc>
          <w:tcPr>
            <w:tcW w:type="dxa" w:w="700"/>
            <w:tcBorders>
              <w:top w:val="single" w:color="DDE3E8" w:sz="1"/>
              <w:left w:val="single" w:color="DDE3E8" w:sz="1"/>
              <w:bottom w:val="single" w:color="DDE3E8" w:sz="1"/>
              <w:right w:val="single" w:color="DDE3E8" w:sz="1"/>
            </w:tcBorders>
            <w:shd w:fill="B8722A"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SA</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Tres nominalizaciones consecutivas (traslado, diligenciamiento) con agente completamente suprimido.</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A011</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el occiso portaba material de uso privativo de las Fuerzas Militares al momento del deceso</w:t>
            </w:r>
          </w:p>
        </w:tc>
        <w:tc>
          <w:tcPr>
            <w:tcW w:type="dxa" w:w="700"/>
            <w:tcBorders>
              <w:top w:val="single" w:color="DDE3E8" w:sz="1"/>
              <w:left w:val="single" w:color="DDE3E8" w:sz="1"/>
              <w:bottom w:val="single" w:color="DDE3E8" w:sz="1"/>
              <w:right w:val="single" w:color="DDE3E8" w:sz="1"/>
            </w:tcBorders>
            <w:shd w:fill="8B1A1A"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NV</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Presupone combate implícitamente al mencionar material militar. Construye retrospectivamente la identidad de combatiente.</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A012</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elementos subversivos dados de baja en operación de registro y control territorial</w:t>
            </w:r>
          </w:p>
        </w:tc>
        <w:tc>
          <w:tcPr>
            <w:tcW w:type="dxa" w:w="700"/>
            <w:tcBorders>
              <w:top w:val="single" w:color="DDE3E8" w:sz="1"/>
              <w:left w:val="single" w:color="DDE3E8" w:sz="1"/>
              <w:bottom w:val="single" w:color="DDE3E8" w:sz="1"/>
              <w:right w:val="single" w:color="DDE3E8" w:sz="1"/>
            </w:tcBorders>
            <w:shd w:fill="8B1A1A"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NV</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"Elementos subversivos" categoriza a civiles como miembros de grupos armados ilegales sin sustento probatorio.</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A013</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se encontraron evidencias que vinculan al fallecido con actividades de grupos al margen de la ley</w:t>
            </w:r>
          </w:p>
        </w:tc>
        <w:tc>
          <w:tcPr>
            <w:tcW w:type="dxa" w:w="700"/>
            <w:tcBorders>
              <w:top w:val="single" w:color="DDE3E8" w:sz="1"/>
              <w:left w:val="single" w:color="DDE3E8" w:sz="1"/>
              <w:bottom w:val="single" w:color="DDE3E8" w:sz="1"/>
              <w:right w:val="single" w:color="DDE3E8" w:sz="1"/>
            </w:tcBorders>
            <w:shd w:fill="8B1A1A"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NV</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Atribuye vinculación con grupos ilegales de forma genérica y sin especificación probatoria para justificar la muerte.</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A014</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el sujeto presentaba antecedentes en actividades contrarias al orden público</w:t>
            </w:r>
          </w:p>
        </w:tc>
        <w:tc>
          <w:tcPr>
            <w:tcW w:type="dxa" w:w="700"/>
            <w:tcBorders>
              <w:top w:val="single" w:color="DDE3E8" w:sz="1"/>
              <w:left w:val="single" w:color="DDE3E8" w:sz="1"/>
              <w:bottom w:val="single" w:color="DDE3E8" w:sz="1"/>
              <w:right w:val="single" w:color="DDE3E8" w:sz="1"/>
            </w:tcBorders>
            <w:shd w:fill="8B1A1A"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NV</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Criminalización retroactiva de la víctima para legitimar el homicidio mediante referencia a "antecedentes" no verificados.</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A015</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persona en actitud sospechosa que no atendió el alto reglamentario impuesto por la patrulla</w:t>
            </w:r>
          </w:p>
        </w:tc>
        <w:tc>
          <w:tcPr>
            <w:tcW w:type="dxa" w:w="700"/>
            <w:tcBorders>
              <w:top w:val="single" w:color="DDE3E8" w:sz="1"/>
              <w:left w:val="single" w:color="DDE3E8" w:sz="1"/>
              <w:bottom w:val="single" w:color="DDE3E8" w:sz="1"/>
              <w:right w:val="single" w:color="DDE3E8" w:sz="1"/>
            </w:tcBorders>
            <w:shd w:fill="8B1A1A"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NV</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Construye una narrativa de desobediencia activa para justificar el uso de fuerza letal contra un civil.</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B001</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el asesinato del joven Fair Leonardo Porras Bernal, civil inocente que fue presentado falsamente como guerrillero dado de baja en combate</w:t>
            </w:r>
          </w:p>
        </w:tc>
        <w:tc>
          <w:tcPr>
            <w:tcW w:type="dxa" w:w="700"/>
            <w:tcBorders>
              <w:top w:val="single" w:color="DDE3E8" w:sz="1"/>
              <w:left w:val="single" w:color="DDE3E8" w:sz="1"/>
              <w:bottom w:val="single" w:color="DDE3E8" w:sz="1"/>
              <w:right w:val="single" w:color="DDE3E8" w:sz="1"/>
            </w:tcBorders>
            <w:shd w:fill="2D6A3F"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REP</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Nombra al civil por nombre, usa "asesinato" en lugar de eufemismo, califica la víctima como inocente y la acción estatal como falsificación.</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B002</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los comparecientes reconocen que ejecutaron extrajudicialmente a personas civiles que en ningún momento participaron en hostilidades</w:t>
            </w:r>
          </w:p>
        </w:tc>
        <w:tc>
          <w:tcPr>
            <w:tcW w:type="dxa" w:w="700"/>
            <w:tcBorders>
              <w:top w:val="single" w:color="DDE3E8" w:sz="1"/>
              <w:left w:val="single" w:color="DDE3E8" w:sz="1"/>
              <w:bottom w:val="single" w:color="DDE3E8" w:sz="1"/>
              <w:right w:val="single" w:color="DDE3E8" w:sz="1"/>
            </w:tcBorders>
            <w:shd w:fill="2D6A3F"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REP</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Lenguaje de reconocimiento directo: "ejecutaron" (primera persona plural activa implícita), "civiles", "ningún momento en hostilidades" — restituye el estatuto de víctima.</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B003</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se trata de crímenes de lesa humanidad cometidos de manera sistemática por agentes del Estado colombiano contra su propia población civil</w:t>
            </w:r>
          </w:p>
        </w:tc>
        <w:tc>
          <w:tcPr>
            <w:tcW w:type="dxa" w:w="700"/>
            <w:tcBorders>
              <w:top w:val="single" w:color="DDE3E8" w:sz="1"/>
              <w:left w:val="single" w:color="DDE3E8" w:sz="1"/>
              <w:bottom w:val="single" w:color="DDE3E8" w:sz="1"/>
              <w:right w:val="single" w:color="DDE3E8" w:sz="1"/>
            </w:tcBorders>
            <w:shd w:fill="2D6A3F"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REP</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Categorización jurídica precisa (crimen de lesa humanidad), responsabilización del Estado, reconocimiento de la condición civil de las víctimas.</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B004</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la madre de la víctima describió cómo su hijo salió de casa buscando trabajo y nunca regresó — su testimonio es verídico y fue ignorado durante años por las autoridades</w:t>
            </w:r>
          </w:p>
        </w:tc>
        <w:tc>
          <w:tcPr>
            <w:tcW w:type="dxa" w:w="700"/>
            <w:tcBorders>
              <w:top w:val="single" w:color="DDE3E8" w:sz="1"/>
              <w:left w:val="single" w:color="DDE3E8" w:sz="1"/>
              <w:bottom w:val="single" w:color="DDE3E8" w:sz="1"/>
              <w:right w:val="single" w:color="DDE3E8" w:sz="1"/>
            </w:tcBorders>
            <w:shd w:fill="2D6A3F"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REP</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Valida explícitamente el testimonio de la víctima, restituye su credibilidad epistémica, y nombra la falla institucional que la silenció.</w:t>
            </w:r>
          </w:p>
        </w:tc>
      </w:tr>
      <w:tr>
        <w:tc>
          <w:tcPr>
            <w:tcW w:type="dxa" w:w="500"/>
            <w:tcBorders>
              <w:top w:val="single" w:color="DDE3E8" w:sz="1"/>
              <w:left w:val="single" w:color="DDE3E8" w:sz="1"/>
              <w:bottom w:val="single" w:color="DDE3E8" w:sz="1"/>
              <w:right w:val="single" w:color="DDE3E8" w:sz="1"/>
            </w:tcBorders>
            <w:shd w:fill="E8EDF2" w:val="clear"/>
            <w:tcMar>
              <w:top w:type="dxa" w:w="60"/>
              <w:left w:type="dxa" w:w="100"/>
              <w:bottom w:type="dxa" w:w="60"/>
              <w:right w:type="dxa" w:w="100"/>
            </w:tcMar>
          </w:tcPr>
          <w:p>
            <w:r>
              <w:rPr>
                <w:rFonts w:ascii="Calibri" w:cs="Calibri" w:eastAsia="Calibri" w:hAnsi="Calibri"/>
                <w:color w:val="6B7F8E"/>
                <w:sz w:val="18"/>
                <w:szCs w:val="18"/>
              </w:rPr>
              <w:t xml:space="preserve">B005</w:t>
            </w:r>
          </w:p>
        </w:tc>
        <w:tc>
          <w:tcPr>
            <w:tcW w:type="dxa" w:w="4000"/>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i/>
                <w:iCs/>
                <w:color w:val="1A2B3C"/>
                <w:sz w:val="18"/>
                <w:szCs w:val="18"/>
              </w:rPr>
              <w:t xml:space="preserve">ordenamos la reparación integral de las familias de las víctimas civiles cuyos nombres el Estado registró erróneamente como bajas en combate</w:t>
            </w:r>
          </w:p>
        </w:tc>
        <w:tc>
          <w:tcPr>
            <w:tcW w:type="dxa" w:w="700"/>
            <w:tcBorders>
              <w:top w:val="single" w:color="DDE3E8" w:sz="1"/>
              <w:left w:val="single" w:color="DDE3E8" w:sz="1"/>
              <w:bottom w:val="single" w:color="DDE3E8" w:sz="1"/>
              <w:right w:val="single" w:color="DDE3E8" w:sz="1"/>
            </w:tcBorders>
            <w:shd w:fill="2D6A3F"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REP</w:t>
            </w:r>
          </w:p>
        </w:tc>
        <w:tc>
          <w:tcPr>
            <w:tcW w:type="dxa" w:w="3826"/>
            <w:tcBorders>
              <w:top w:val="single" w:color="DDE3E8" w:sz="1"/>
              <w:left w:val="single" w:color="DDE3E8" w:sz="1"/>
              <w:bottom w:val="single" w:color="DDE3E8" w:sz="1"/>
              <w:right w:val="single" w:color="DDE3E8" w:sz="1"/>
            </w:tcBorders>
            <w:shd w:fill="FFFFFF" w:val="clear"/>
            <w:tcMar>
              <w:top w:type="dxa" w:w="60"/>
              <w:left w:type="dxa" w:w="100"/>
              <w:bottom w:type="dxa" w:w="60"/>
              <w:right w:type="dxa" w:w="100"/>
            </w:tcMar>
          </w:tcPr>
          <w:p>
            <w:r>
              <w:rPr>
                <w:rFonts w:ascii="Calibri" w:cs="Calibri" w:eastAsia="Calibri" w:hAnsi="Calibri"/>
                <w:color w:val="1A2B3C"/>
                <w:sz w:val="18"/>
                <w:szCs w:val="18"/>
              </w:rPr>
              <w:t xml:space="preserve">"Reparación integral", "víctimas civiles", "erróneamente" — reconoce el daño, el error estatal y la condición civil de los asesinados en una sola oración.</w:t>
            </w:r>
          </w:p>
        </w:tc>
      </w:tr>
    </w:tbl>
    <w:p>
      <w:pPr>
        <w:spacing w:after="0" w:before="80"/>
      </w:pPr>
    </w:p>
    <w:p>
      <w:pPr>
        <w:spacing w:after="0" w:before="80"/>
      </w:pPr>
    </w:p>
    <w:p>
      <w:pPr>
        <w:pBdr>
          <w:bottom w:val="single" w:color="2E6A7C" w:sz="4" w:space="1"/>
        </w:pBdr>
        <w:spacing w:after="180" w:before="360"/>
      </w:pPr>
      <w:r>
        <w:rPr>
          <w:rFonts w:ascii="Cambria" w:cs="Cambria" w:eastAsia="Cambria" w:hAnsi="Cambria"/>
          <w:b/>
          <w:bCs/>
          <w:color w:val="1A2B3C"/>
          <w:sz w:val="28"/>
          <w:szCs w:val="28"/>
        </w:rPr>
        <w:t xml:space="preserve">5. Criterio de selección — originalidad de la compilación</w:t>
      </w:r>
    </w:p>
    <w:p>
      <w:pPr>
        <w:spacing w:after="120" w:before="60"/>
      </w:pPr>
      <w:r>
        <w:rPr>
          <w:rFonts w:ascii="Calibri" w:cs="Calibri" w:eastAsia="Calibri" w:hAnsi="Calibri"/>
          <w:color w:val="1A2B3C"/>
          <w:sz w:val="22"/>
          <w:szCs w:val="22"/>
        </w:rPr>
        <w:t xml:space="preserve">La selección de los 100 fragmentos que conforman el corpus anotado no es aleatoria ni exhaustiva: responde a un método de muestreo estratificado diseñado por la autora para representar la diversidad discursiva del archivo judicial colombiano sobre los falsos positivos. Los criterios de selección fueron:</w:t>
      </w:r>
    </w:p>
    <w:p>
      <w:pPr>
        <w:spacing w:after="40" w:before="40"/>
        <w:ind w:left="720" w:hanging="360"/>
      </w:pPr>
      <w:r>
        <w:rPr>
          <w:rFonts w:ascii="Calibri" w:cs="Calibri" w:eastAsia="Calibri" w:hAnsi="Calibri"/>
          <w:b/>
          <w:bCs/>
          <w:color w:val="2E6A7C"/>
          <w:sz w:val="22"/>
          <w:szCs w:val="22"/>
        </w:rPr>
        <w:t xml:space="preserve">— </w:t>
      </w:r>
      <w:r>
        <w:rPr>
          <w:rFonts w:ascii="Calibri" w:cs="Calibri" w:eastAsia="Calibri" w:hAnsi="Calibri"/>
          <w:color w:val="1A2B3C"/>
          <w:sz w:val="22"/>
          <w:szCs w:val="22"/>
        </w:rPr>
        <w:t xml:space="preserve">Representación proporcional de los tres subcorpora (A, B, C) según su peso en el análisis</w:t>
      </w:r>
    </w:p>
    <w:p>
      <w:pPr>
        <w:spacing w:after="40" w:before="40"/>
        <w:ind w:left="720" w:hanging="360"/>
      </w:pPr>
      <w:r>
        <w:rPr>
          <w:rFonts w:ascii="Calibri" w:cs="Calibri" w:eastAsia="Calibri" w:hAnsi="Calibri"/>
          <w:b/>
          <w:bCs/>
          <w:color w:val="2E6A7C"/>
          <w:sz w:val="22"/>
          <w:szCs w:val="22"/>
        </w:rPr>
        <w:t xml:space="preserve">— </w:t>
      </w:r>
      <w:r>
        <w:rPr>
          <w:rFonts w:ascii="Calibri" w:cs="Calibri" w:eastAsia="Calibri" w:hAnsi="Calibri"/>
          <w:color w:val="1A2B3C"/>
          <w:sz w:val="22"/>
          <w:szCs w:val="22"/>
        </w:rPr>
        <w:t xml:space="preserve">Cobertura del período histórico completo (1994–2025) con énfasis en momentos de quiebre institucional</w:t>
      </w:r>
    </w:p>
    <w:p>
      <w:pPr>
        <w:spacing w:after="40" w:before="40"/>
        <w:ind w:left="720" w:hanging="360"/>
      </w:pPr>
      <w:r>
        <w:rPr>
          <w:rFonts w:ascii="Calibri" w:cs="Calibri" w:eastAsia="Calibri" w:hAnsi="Calibri"/>
          <w:b/>
          <w:bCs/>
          <w:color w:val="2E6A7C"/>
          <w:sz w:val="22"/>
          <w:szCs w:val="22"/>
        </w:rPr>
        <w:t xml:space="preserve">— </w:t>
      </w:r>
      <w:r>
        <w:rPr>
          <w:rFonts w:ascii="Calibri" w:cs="Calibri" w:eastAsia="Calibri" w:hAnsi="Calibri"/>
          <w:color w:val="1A2B3C"/>
          <w:sz w:val="22"/>
          <w:szCs w:val="22"/>
        </w:rPr>
        <w:t xml:space="preserve">Balance entre las cuatro categorías de la taxonomía CFH para garantizar datos de entrenamiento equilibrados</w:t>
      </w:r>
    </w:p>
    <w:p>
      <w:pPr>
        <w:spacing w:after="40" w:before="40"/>
        <w:ind w:left="720" w:hanging="360"/>
      </w:pPr>
      <w:r>
        <w:rPr>
          <w:rFonts w:ascii="Calibri" w:cs="Calibri" w:eastAsia="Calibri" w:hAnsi="Calibri"/>
          <w:b/>
          <w:bCs/>
          <w:color w:val="2E6A7C"/>
          <w:sz w:val="22"/>
          <w:szCs w:val="22"/>
        </w:rPr>
        <w:t xml:space="preserve">— </w:t>
      </w:r>
      <w:r>
        <w:rPr>
          <w:rFonts w:ascii="Calibri" w:cs="Calibri" w:eastAsia="Calibri" w:hAnsi="Calibri"/>
          <w:color w:val="1A2B3C"/>
          <w:sz w:val="22"/>
          <w:szCs w:val="22"/>
        </w:rPr>
        <w:t xml:space="preserve">Inclusión de casos ambiguos donde dos categorías coexisten en el mismo fragmento — casos límite que definen con precisión las fronteras de cada categoría</w:t>
      </w:r>
    </w:p>
    <w:p>
      <w:pPr>
        <w:spacing w:after="40" w:before="40"/>
        <w:ind w:left="720" w:hanging="360"/>
      </w:pPr>
      <w:r>
        <w:rPr>
          <w:rFonts w:ascii="Calibri" w:cs="Calibri" w:eastAsia="Calibri" w:hAnsi="Calibri"/>
          <w:b/>
          <w:bCs/>
          <w:color w:val="2E6A7C"/>
          <w:sz w:val="22"/>
          <w:szCs w:val="22"/>
        </w:rPr>
        <w:t xml:space="preserve">— </w:t>
      </w:r>
      <w:r>
        <w:rPr>
          <w:rFonts w:ascii="Calibri" w:cs="Calibri" w:eastAsia="Calibri" w:hAnsi="Calibri"/>
          <w:color w:val="1A2B3C"/>
          <w:sz w:val="22"/>
          <w:szCs w:val="22"/>
        </w:rPr>
        <w:t xml:space="preserve">Representación de las distintas secciones documentales (HECHOS, CONSIDERACIONES, DECISIÓN, RECONOCIMIENTO) para capturar la variación intra-documento</w:t>
      </w:r>
    </w:p>
    <w:p>
      <w:pPr>
        <w:spacing w:after="120" w:before="60"/>
      </w:pPr>
      <w:r>
        <w:rPr>
          <w:rFonts w:ascii="Calibri" w:cs="Calibri" w:eastAsia="Calibri" w:hAnsi="Calibri"/>
          <w:color w:val="1A2B3C"/>
          <w:sz w:val="22"/>
          <w:szCs w:val="22"/>
        </w:rPr>
        <w:t xml:space="preserve">Este criterio de selección constituye el aporte intelectual original de la compilación en los términos del artículo 12 de la Decisión Andina 351 de 1993, que protege las compilaciones cuya selección o disposición de contenidos constituye una creación intelectual.</w:t>
      </w:r>
    </w:p>
    <w:p>
      <w:pPr>
        <w:spacing w:after="0" w:before="80"/>
      </w:pPr>
    </w:p>
    <w:p>
      <w:pPr>
        <w:pBdr>
          <w:bottom w:val="single" w:color="2E6A7C" w:sz="4" w:space="1"/>
        </w:pBdr>
        <w:spacing w:after="180" w:before="360"/>
      </w:pPr>
      <w:r>
        <w:rPr>
          <w:rFonts w:ascii="Cambria" w:cs="Cambria" w:eastAsia="Cambria" w:hAnsi="Cambria"/>
          <w:b/>
          <w:bCs/>
          <w:color w:val="1A2B3C"/>
          <w:sz w:val="28"/>
          <w:szCs w:val="28"/>
        </w:rPr>
        <w:t xml:space="preserve">6. Uso del corpus anotado</w:t>
      </w:r>
    </w:p>
    <w:p>
      <w:pPr>
        <w:spacing w:after="120" w:before="60"/>
      </w:pPr>
      <w:r>
        <w:rPr>
          <w:rFonts w:ascii="Calibri" w:cs="Calibri" w:eastAsia="Calibri" w:hAnsi="Calibri"/>
          <w:color w:val="1A2B3C"/>
          <w:sz w:val="22"/>
          <w:szCs w:val="22"/>
        </w:rPr>
        <w:t xml:space="preserve">El corpus anotado fue utilizado para el entrenamiento y evaluación del clasificador CFH-BERT v2 (F1 macro = 0.58). Constituye el dato de entrenamiento para la versión definitiva CFH-BERT v3, pendiente de completar con un segundo anotador para alcanzar el acuerdo inter-anotador κ &gt; 0.80 sobre 500 fragmentos. El corpus completo no es público — la muestra representativa incluida en este documento tiene fines exclusivos de registro de la autoría.</w:t>
      </w:r>
    </w:p>
    <w:p>
      <w:pPr>
        <w:spacing w:after="0" w:before="80"/>
      </w:pPr>
    </w:p>
    <w:p>
      <w:pPr>
        <w:spacing w:after="0" w:before="80"/>
      </w:pPr>
    </w:p>
    <w:p>
      <w:pPr>
        <w:pBdr>
          <w:top w:val="single" w:color="DDE3E8" w:sz="2" w:space="1"/>
        </w:pBdr>
        <w:spacing w:after="80" w:before="200"/>
      </w:pPr>
      <w:r>
        <w:rPr>
          <w:rFonts w:ascii="Calibri" w:cs="Calibri" w:eastAsia="Calibri" w:hAnsi="Calibri"/>
          <w:i/>
          <w:iCs/>
          <w:color w:val="6B7F8E"/>
          <w:sz w:val="18"/>
          <w:szCs w:val="18"/>
        </w:rPr>
        <w:t xml:space="preserve">Mireya Camacho Celis — mireyacamachocelis@gmail.com — Bogotá, Colombia — Mayo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B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2026-05-11T15:23:59.800Z</dcterms:created>
  <dcterms:modified xsi:type="dcterms:W3CDTF">2026-05-11T15:23:59.814Z</dcterms:modified>
</cp:coreProperties>
</file>

<file path=docProps/custom.xml><?xml version="1.0" encoding="utf-8"?>
<Properties xmlns="http://schemas.openxmlformats.org/officeDocument/2006/custom-properties" xmlns:vt="http://schemas.openxmlformats.org/officeDocument/2006/docPropsVTypes"/>
</file>