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reconocimiento más genuino.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performativo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sin ICM por DRM en video.</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Torres Escalante)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Chaparro)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(Ollo La Tapia y otros) presenta el mayor y₁₀ REP (0.147) y la menor distancia MAFAPO (y₈=0.186) del corpus C — es el subcaso semánticamente más cercano al lenguaje de las víctimas, con ICM tri-canal 0.453.
Costa Caribe (12 comparecientes, Batallón La Popa) no tiene ICM disponible por DRM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Chaparro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Chaparro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(Torres Escalante)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y₁₁ registro léxico, y₁₂ verbos atributivos, y₁₃ evidenciales</w:t>
      </w:r>
    </w:p>
    <w:p>
      <w:pPr>
        <w:jc w:val="both"/>
        <w:spacing w:after="160" w:line="340"/>
      </w:pPr>
      <w:r>
        <w:rPr>
          <w:sz w:val="22"/>
          <w:szCs w:val="22"/>
        </w:rPr>
        <w:t xml:space="preserve">Tabla 5.15. y₁₁, y₁₂, y₁₃ — Beach et al. (2021) adaptado al español jurídico. A: n=777 bloques (50 docs). B: n=315 bloques. C: n=150 bloques (5 subcasos). Corpus A: y₁₁=0.136, y₁₂=0.270, y₁₃=0.557 | Corpus B: y₁₁=0.479, y₁₂=0.058, y₁₃=0.503 | Corpus C: y₁₁_v2=ver subcasos, y₁₂=0.103, y₁₃=0.503. Todos significativos p&lt;0.001 (Mann-Whitney U bilateral A vs B).</w:t>
      </w:r>
    </w:p>
    <w:p>
      <w:pPr>
        <w:jc w:val="both"/>
        <w:spacing w:after="160" w:line="340"/>
      </w:pPr>
      <w:r>
        <w:rPr>
          <w:sz w:val="22"/>
          <w:szCs w:val="22"/>
        </w:rPr>
        <w:t xml:space="preserve">Los tres indicadores de Beach et al. (2021) —quotes sospechosos (y₁₁), verbos atributivos (y₁₂) y evidenciales (y₁₃)—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y₁₂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y₁₁ quotes: A=0.136 vs B=0.479. El Corpus B cita directamente más que el Corpus A, lo que refleja la práctica JEP de transcribir testimonios de comparecientes y víctimas. Para el Corpus C oral, y₁₁ se operacionaliza como registro léxico MAFAPO vs militar (y₁₁_v2),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y₁₁_v2 es la disociación de dos niveles en Catatumbo: prop_MAFAPO=0.736 (segundo más alto — usa vocabulario de víctimas en superficie) pero y₈=0.207 (el más distante semánticamente del corpus C). El Capitán Chaparro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y₁₁</w:t>
      </w:r>
    </w:p>
    <w:p>
      <w:pPr>
        <w:jc w:val="both"/>
        <w:spacing w:after="160" w:line="340"/>
      </w:pPr>
      <w:r>
        <w:rPr>
          <w:sz w:val="22"/>
          <w:szCs w:val="22"/>
        </w:rPr>
        <w:t xml:space="preserve">Tabla 5.16. ICM tri-canal v2 por subcaso. ICM_verbal_v2 = 0.60×ICM_verbal_v1(y₈) + 0.40×y₁₁_prop_MAFAPO.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(y₁₁) con la dimensión semántico-profunda (y₈) en el canal verbal. El ranking se mantiene respecto a la v1: Catatumbo sigue siendo el subcaso de menor congruencia tri-canal (0.295), Dabeiba el mayor (0.490). Sin embargo, Catatumbo sube de 0.236 a 0.295 porque y₁₁ reconoce que el Capitán Chaparro sí usa vocabulario de víctimas en superficie —matiz que la v1 no capturaba. La mejora es metodológicamente importante: el ICM_verbal_v2 distingue entre adoptar el vocabulario (y₁₁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