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es genuino o performativo.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 Escalante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Torres Escalante)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w:t>
      </w:r>
      <w:r>
        <w:rPr>
          <w:rFonts w:ascii="Times New Roman" w:cs="Times New Roman" w:eastAsia="Times New Roman" w:hAnsi="Times New Roman"/>
          <w:color w:val="000000"/>
          <w:sz w:val="24"/>
          <w:szCs w:val="24"/>
        </w:rPr>
        <w:t xml:space="preserve">MediaPipe FaceLandmarker v0.10 (Lugaresi et al., 2023) extrae 52 blendshapes faciales por frame en modo IMAGE. Por segmento diarizado se muestrean hasta 20 frames y se calcula la media de cada blendshape. Los 6 blendshapes más relevantes para el ICM se mapean a Action Units FACS: AU1 (browInnerUp — angustia interna), AU4 (browDownLeft — ceño fruncido), AU6 (eyeSquintLeft — sonrisa Duchenne), AU12 (mouthSmileLeft — comisura labial), AU15 (mouthFrownLeft — tristeza), AU17 (mouthShrugLower — duda). La tasa de detección facial varía por audiencia (86% Casanare, 55% Catatumbo, 25% Dabeiba, 20% Huila) según el ángulo y distancia de la cámara — limitación metodológica reportada explícitamente.</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más performativo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más genuino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ICM facial = distress/(distress+sonrisa). Mayor ICM score = reconocimiento más genuino.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(pendiente). </w:t>
      </w:r>
      <w:r>
        <w:rPr>
          <w:rFonts w:ascii="Times New Roman" w:cs="Times New Roman" w:eastAsia="Times New Roman" w:hAnsi="Times New Roman"/>
          <w:color w:val="000000"/>
          <w:sz w:val="24"/>
          <w:szCs w:val="24"/>
        </w:rPr>
        <w:t xml:space="preserve">El extractor eGeMAPS (Eyben et al., 2016) producirá 88 features acústicas por segmento: F0, jitter, shimmer, alpha ratio, speech rate, duración de pausas. Los marcadores más relevantes para el ICM vocal son shimmer (quiebre de voz) y pausas largas (carga cognitiva). Pendiente de integración en el pipeline de Capa 3.</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 xml:space="preserve">El ICM combina los tres canales — verbal (ConfliBERT REP score), vocal (eGeMAPS pendiente), facial (MediaPipe AUs) — en un índice de genuinidad. La versión implementada calcula ICM facial = distress_medio / (distress_medio + sonrisa_media), donde distress_medio = (AU1 + AU4 + AU15) / 3. Valores más altos indican mayor congruencia entre el reconocimiento verbal y la expresión facial de distress — reconocimiento genuino. Valores más bajos indican dominancia de la sonrisa — reconocimiento performativo.</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pStyle w:val="Heading3"/>
        <w:spacing w:after="140" w:before="280"/>
        <w:outlineLvl w:val="2"/>
      </w:pPr>
      <w:r>
        <w:rPr>
          <w:rFonts w:ascii="Times New Roman" w:cs="Times New Roman" w:eastAsia="Times New Roman" w:hAnsi="Times New Roman"/>
          <w:b/>
          <w:bCs/>
          <w:i/>
          <w:iCs/>
          <w:color w:val="000000"/>
          <w:sz w:val="24"/>
          <w:szCs w:val="24"/>
        </w:rPr>
        <w:t xml:space="preserve">4.5.5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Capa 3 pendiente: (1) eGeMAPS OpenSMILE canal vocal, (2) identificación definitiva speakers comparecientes Catatumbo/Dabeiba/Huila, (3) video Costa Caribe sin DRM, (4) ICM tri-canal completo. SEM completo pendiente de y₇ surprisal e y₁₁ convergencia restaurativa.</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2026-04-15T00:35:08.378Z</dcterms:created>
  <dcterms:modified xsi:type="dcterms:W3CDTF">2026-04-15T00:35:08.379Z</dcterms:modified>
</cp:coreProperties>
</file>

<file path=docProps/custom.xml><?xml version="1.0" encoding="utf-8"?>
<Properties xmlns="http://schemas.openxmlformats.org/officeDocument/2006/custom-properties" xmlns:vt="http://schemas.openxmlformats.org/officeDocument/2006/docPropsVTypes"/>
</file>