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del reconocimiento performativo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(Δ=0.225),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et al. (2025). False Positives in Colombia: State Violence, Ignorance and the Epistemic Struggles of Victims. ERLACS. https://doi.org/10.32992/erlacs.11238</w:t>
      </w:r>
    </w:p>
    <w:p>
      <w:pPr>
        <w:jc w:val="both"/>
        <w:spacing w:after="80" w:line="340"/>
        <w:ind w:left="400" w:hanging="400"/>
      </w:pPr>
      <w:r>
        <w:rPr>
          <w:sz w:val="20"/>
          <w:szCs w:val="20"/>
          <w:i/>
          <w:color w:val="2E4057"/>
        </w:rPr>
        <w:t xml:space="preserve">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genuino?</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OpenFace AUs + head pose,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OpenFace).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OpenFace 3.0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pStyle w:val="Heading3"/>
        <w:spacing w:after="140" w:before="280"/>
        <w:outlineLvl w:val="2"/>
      </w:pPr>
      <w:r>
        <w:rPr>
          <w:rFonts w:ascii="Times New Roman" w:cs="Times New Roman" w:eastAsia="Times New Roman" w:hAnsi="Times New Roman"/>
          <w:b/>
          <w:bCs/>
          <w:i/>
          <w:iCs/>
          <w:color w:val="000000"/>
          <w:sz w:val="24"/>
          <w:szCs w:val="24"/>
        </w:rPr>
        <w:t>3.7.2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 xml:space="preserve">El Índice de Congruencia Multimodal (ICM) es la contribución metodológica más original de la CFH y la que operacionaliza directamente el concepto de reconocimiento genuino de Fraser y Zehr. El ICM mide la coherencia entre los tres canales de comunicación presentes en las audiencias orales de la JEP: el canal verbal (lo que el compareciente dice — texto), el canal vocal (cómo lo dice — prosodia), y el canal facial (cómo lo expresa — action units y movimiento de cabeza).</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 Un ICM bajo (incongruente) indica reconocimiento performativo: las palabras dicen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reconocimiento genuino y reconocimiento performativo,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genuino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Reconocimiento performativo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del reconocimiento genuino vs. performativo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los testimonios públicos de MAFAPO — 25 textos reales de comunicados, declaraciones ante la JEP y el informe «Unidas por la Memoria y la Verdad» (2021) — y los estándares de la Corte Interamericana de Derechos Humanos sobre ejecuciones extrajudiciales en Colombia — 25 fragmentos reales de la sentencia Villamizar Durán y otros vs. Colombia (Corte IDH, 2018) y comunicados de la CIDH. Los centroides se construyen como el promedio de los vectores semánticos de cada corpus de referencia en el espacio de ConfliBERT-Spanish.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si ese perdón fue genuino o performativo.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