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multimodal es un patrón diferenciado de genuinidad del reconocimiento facial entre subcasos: General Torres Escalante Casanare (ICM=0.190) &lt; Capitán Chaparro Catatumbo (ICM=0.272) &lt; Soldados Huila (ICM=0.299) &lt; Oficial Dabeiba (ICM=0.353). Este patrón emergió del análisis de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 Torres Escalante/Casanare (ICM=0.190) &lt; Capitán Chaparro/Catatumbo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genuinidad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genuino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Torres Escalante tiene consistentemente el ICM más bajo (0.190) — mayor sonrisa (AU12=0.091) y menor ceño (AU4=0.076) que cualquier otro compareciente del corpus. Este perfil facial es el más consistente con un reconocimiento performativo: Torres Escalante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Torres Escalante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Chaparro,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Torres Escalante)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Chaparro)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(Ollo La Tapia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video de Costa Caribe (subcaso La Popa, julio 2022) está bloqueado por DRM en YouTube y no pudo ser procesado.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Resolver el video Costa Caribe (DRM) para completar el Corpus C 5/5 en Capa 3.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 COMPLETADO (abril 2026): Features eGeMAPS v02 extraídos con OpenSMILE sobre 10.897 ventanas (4 subcasos). ICM vocal del compareciente calculado mediante cruce con diarizaciones AUs. ICM tri-canal ponderado calculado. Pendiente: integración en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La Capa 3 añade un hallazgo relevante: el General Torres Escalante (Casanare) tiene el ICM facial más bajo del corpus (0.190) — perfil de sonrisa dominante consistente con reconocimiento performativo — mientras que el subcaso Dabeiba presenta el ICM más alto (0.353), posiblemente asociado a la materialidad concreta de ese subcaso (49 fosas físicamente recuperadas). Estos resultados son exploratorios y requieren validación perceptual, pero abren una línea de investigación sobre la expresión emocional en los actos de justicia transicional que no ha sido explorada cuantitativamente en la literatura.</w:t>
      </w:r>
    </w:p>
    <w:p>
      <w:pPr>
        <w:jc w:val="both"/>
        <w:spacing w:after="160" w:line="340"/>
      </w:pPr>
      <w:r>
        <w:rPr>
          <w:sz w:val="22"/>
          <w:szCs w:val="22"/>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Cinco de seis indicadores CFH muestran diferencias estadísticamente significativas entre Corpus A y B. El análisis integrado del Corpus C con seis indicadores y el ICM tri-canal revela que la disociación entre canales discursivos es el patrón estructural dominante en las audiencias de reconocimiento.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200" w:line="360" w:lineRule="auto"/>
        <w:ind w:firstLine="720"/>
        <w:jc w:val="both"/>
      </w:pPr>
      <w:r>
        <w:rPr>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Cinco de seis indicadores CFH muestran diferencias estadísticamente significativas entre Corpus A y B.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