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ind w:firstLine="720"/>
        <w:jc w:val="both"/>
      </w:pPr>
      <w:r>
        <w:rPr>
          <w:rFonts w:ascii="Times New Roman" w:cs="Times New Roman" w:eastAsia="Times New Roman" w:hAnsi="Times New Roman"/>
          <w:color w:val="000000"/>
          <w:sz w:val="24"/>
          <w:szCs w:val="24"/>
        </w:rPr>
        <w:t xml:space="preserve">Ocho de nueve indicadores son significativos en la dirección predicha. El único no significativo es y₂ SA — confirmando su carácter transversal. La convergencia de seis indicadores con p&lt;0.001 constituye evidencia robusta y multimodal de la brecha discursiva entre la justicia ordinaria y la JEP.</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5.9 Capa 3 — ICM facial: Action Units por subcaso</w:t>
      </w:r>
    </w:p>
    <w:p>
      <w:pPr>
        <w:spacing w:after="200" w:line="360" w:lineRule="auto"/>
        <w:ind w:firstLine="720"/>
        <w:jc w:val="both"/>
      </w:pPr>
      <w:r>
        <w:rPr>
          <w:rFonts w:ascii="Times New Roman" w:cs="Times New Roman" w:eastAsia="Times New Roman" w:hAnsi="Times New Roman"/>
          <w:color w:val="000000"/>
          <w:sz w:val="24"/>
          <w:szCs w:val="24"/>
        </w:rPr>
        <w:t xml:space="preserve">La Capa 3 multimodal del framework CFH extrae Action Units (AUs) faciales de los comparecientes en las audiencias de reconocimiento, utilizando MediaPipe FaceLandmarker sobre los segmentos de audio diarizados. Los speakers comparecientes fueron identificados mediante cruce de diarización con transcripciones de Whisper: SPEAKER_03 Casanare = General Torres Escalante (letrero JEP en pantalla); SPEAKER_03 Catatumbo = Cap. Juan Carlos Chaparro Chaparro; SPEAKER_01 Dabeiba = compareciente oficial (contenido textual); SPEAKER_06+07+08 Huila = soldados y suboficiales incluyendo a Luis Carlos Ollo La Tapia. La detección facial fue optimizada con umbral 0.3, 50 frames por segmento y recorte por cuadrantes — logrando tasas de 40-93%.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800"/>
        <w:gridCol w:w="800"/>
        <w:gridCol w:w="800"/>
        <w:gridCol w:w="8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Compareciente / Rango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w:t>
            </w:r>
          </w:p>
        </w:tc>
        <w:tc>
          <w:tcPr>
            <w:tcW w:type="dxa" w:w="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score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Gral. Henry Torres Escalante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Cap. Juan Carlos Chaparro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Soldados/suboficiales (Ollo La Tapia+)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322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93%</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0.299</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Dabeiba</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Oficial (coronel/teniente coronel)</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0.371</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0.079</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40%</w:t>
            </w:r>
          </w:p>
        </w:tc>
        <w:tc>
          <w:tcPr>
            <w:tcW w:type="dxa" w:w="8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0.353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5.10. ICM facial v3 por subcaso — MediaPipe FaceLandmarker optimizado. ICM = distress/(distress+sonrisa). Mayor ICM = reconocimiento más genuino. Ordenado por ICM ascendente.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facial con detección optimizada (v3) revela que Dabeiba presenta el ICM más alto (0.353) — no Huila como indicaba la versión preliminar. El patrón general se mantiene: General Torres Escalante tiene el ICM más bajo (0.190) y los comparecientes de menor rango tienen ICM más alto. Sin embargo, el orden exacto entre Huila (soldados, ICM=0.299) y Dabeiba (oficiales, ICM=0.353) invierte la hipótesis simple del gradiente por rango. Una interpretación alternativa más robusta es por contexto del subcaso: Dabeiba tiene el ICM más alto porque es el subcaso más materialmente concreto del corpus — los comparecientes guiaron personalmente a los investigadores a 49 fosas en el cementerio Las Mercedes. La materialidad física del crimen puede generar mayor distress facial independientemente del rango.</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Torres Escalante (Casanare) tiene el AU12 más alto (0.091) — mayor sonrisa — y el AU4 más bajo (0.076) — menor ceño. Este perfil de alta sonrisa y bajo ceño, en el contexto de un reconocimiento de responsabilidad por asesinato de civiles, es el más consistente con un patrón performativo en el corpus.</w:t>
      </w:r>
    </w:p>
    <w:p>
      <w:pPr>
        <w:spacing w:after="200" w:line="360" w:lineRule="auto"/>
        <w:ind w:firstLine="720"/>
        <w:jc w:val="both"/>
      </w:pPr>
      <w:r>
        <w:rPr>
          <w:rFonts w:ascii="Times New Roman" w:cs="Times New Roman" w:eastAsia="Times New Roman" w:hAnsi="Times New Roman"/>
          <w:color w:val="000000"/>
          <w:sz w:val="24"/>
          <w:szCs w:val="24"/>
        </w:rPr>
        <w:t xml:space="preserve">La detección facial varía entre audiencias (86% Casanare, 93% Huila, 55% Catatumbo, 40% Dabeiba). La baja detección en Dabeiba (40%) afecta la robustez de su ICM — los resultados deben interpretarse con cautela.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ICM completo pendiente: (1) canal vocal eGeMAPS — shimmer, jitter, F0 por segmento diarizado, (2) video Costa Caribe sin DRM, (3) validación perceptual ICM vs. jueces humanos (Baird y Coutinho, 2019).</w:t>
            </w:r>
          </w:p>
        </w:tc>
      </w:tr>
    </w:tbl>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(2022). Resolución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MAFAPO.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Mann, H. B. y Whitney, D. R. (1947). On a test of whether one of two random variables is stochastically larger than the other. Annals of Mathematical Statistics, 18(1), 50–60.</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et al. (2023). ConfliBERT-Spanish.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2026-04-15T23:11:45.629Z</dcterms:created>
  <dcterms:modified xsi:type="dcterms:W3CDTF">2026-04-15T23:11:45.630Z</dcterms:modified>
</cp:coreProperties>
</file>

<file path=docProps/custom.xml><?xml version="1.0" encoding="utf-8"?>
<Properties xmlns="http://schemas.openxmlformats.org/officeDocument/2006/custom-properties" xmlns:vt="http://schemas.openxmlformats.org/officeDocument/2006/docPropsVTypes"/>
</file>