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color w:val="0D2137"/>
          <w:sz w:val="30"/>
          <w:szCs w:val="30"/>
        </w:rPr>
        <w:t xml:space="preserve">Integración de citas must-cite — Capítulos 2, 3, 4, 5 y 6</w:t>
      </w:r>
    </w:p>
    <w:p>
      <w:pPr>
        <w:spacing w:after="200" w:line="360"/>
        <w:jc w:val="both"/>
      </w:pPr>
      <w:r>
        <w:rPr>
          <w:rFonts w:ascii="Times New Roman" w:cs="Times New Roman" w:eastAsia="Times New Roman" w:hAnsi="Times New Roman"/>
          <w:color w:val="000000"/>
          <w:sz w:val="22"/>
          <w:szCs w:val="22"/>
        </w:rPr>
        <w:t xml:space="preserve">Este documento contiene los párrafos actualizados con las citas obligatorias identificadas en la revisión sistemática del director (abril 2026). Para cada capítulo se indica el párrafo original (P#) y el texto nuevo con la cita integrada. Formato de cita: APA 7ª edición.</w:t>
      </w:r>
    </w:p>
    <w:p>
      <w:pPr>
        <w:spacing w:after="100"/>
      </w:pPr>
      <w:r>
        <w:rPr>
          <w:rFonts w:ascii="Times New Roman" w:cs="Times New Roman" w:eastAsia="Times New Roman" w:hAnsi="Times New Roman"/>
          <w:color w:val="000000"/>
          <w:sz w:val="22"/>
          <w:szCs w:val="22"/>
        </w:rPr>
        <w:t xml:space="preserve"/>
      </w:r>
    </w:p>
    <w:p>
      <w:pPr>
        <w:pStyle w:val="Heading2"/>
        <w:spacing w:after="160" w:before="300"/>
      </w:pPr>
      <w:r>
        <w:rPr>
          <w:rFonts w:ascii="Times New Roman" w:cs="Times New Roman" w:eastAsia="Times New Roman" w:hAnsi="Times New Roman"/>
          <w:b/>
          <w:bCs/>
          <w:color w:val="000000"/>
          <w:sz w:val="26"/>
          <w:szCs w:val="26"/>
        </w:rPr>
        <w:t xml:space="preserve">CAPÍTULO 2 — Estado del arte</w:t>
      </w:r>
    </w:p>
    <w:p>
      <w:pPr>
        <w:pStyle w:val="Heading3"/>
        <w:spacing w:after="100" w:before="200"/>
      </w:pPr>
      <w:r>
        <w:rPr>
          <w:rFonts w:ascii="Times New Roman" w:cs="Times New Roman" w:eastAsia="Times New Roman" w:hAnsi="Times New Roman"/>
          <w:b/>
          <w:bCs/>
          <w:color w:val="595959"/>
          <w:sz w:val="24"/>
          <w:szCs w:val="24"/>
        </w:rPr>
        <w:t xml:space="preserve">Cap. 2 — P23 (§2.3.1) — Sen et al. (2024): no-transferencia low-stakes → high-stakes</w:t>
      </w:r>
    </w:p>
    <w:p>
      <w:pPr>
        <w:spacing w:after="120"/>
      </w:pPr>
      <w:r>
        <w:rPr>
          <w:rFonts w:ascii="Times New Roman" w:cs="Times New Roman" w:eastAsia="Times New Roman" w:hAnsi="Times New Roman"/>
          <w:i/>
          <w:iCs/>
          <w:color w:val="8B0000"/>
          <w:sz w:val="18"/>
          <w:szCs w:val="18"/>
        </w:rPr>
        <w:t xml:space="preserve">INSTRUCCIÓN: Reemplazar el párrafo P23 que empieza 'El análisis computacional de la autenticidad...' por el siguiente:</w:t>
      </w:r>
    </w:p>
    <w:p>
      <w:pPr>
        <w:spacing w:after="200" w:line="360"/>
        <w:jc w:val="both"/>
      </w:pPr>
      <w:r>
        <w:rPr>
          <w:rFonts w:ascii="Times New Roman" w:cs="Times New Roman" w:eastAsia="Times New Roman" w:hAnsi="Times New Roman"/>
          <w:color w:val="000000"/>
          <w:sz w:val="22"/>
          <w:szCs w:val="22"/>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Sen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y los patrones comunicativos difieren cualitativamente. Esta limitación invalida el uso directo de modelos preentrenados de deception detection sobre el Corpus C y justifica que la CFH desarrolle su propio sistema de calibración a partir del corpus del Macrocaso 003.</w:t>
      </w:r>
    </w:p>
    <w:p>
      <w:pPr>
        <w:spacing w:after="80"/>
        <w:ind w:left="400"/>
      </w:pPr>
      <w:r>
        <w:rPr>
          <w:rFonts w:ascii="Times New Roman" w:cs="Times New Roman" w:eastAsia="Times New Roman" w:hAnsi="Times New Roman"/>
          <w:i/>
          <w:iCs/>
          <w:color w:val="2E4057"/>
          <w:sz w:val="18"/>
          <w:szCs w:val="18"/>
        </w:rPr>
        <w:t xml:space="preserve">Sen, S., Singh, G., y Varshney, P. (2024). Deception detection using machine learning: A systematic review and transfer learning limitations from low-stakes to high-stakes. Expert Systems with Applications, 213, 119048. https://doi.org/10.1016/j.eswa.2023.119048</w:t>
      </w:r>
    </w:p>
    <w:p>
      <w:pPr>
        <w:spacing w:after="100"/>
      </w:pPr>
      <w:r>
        <w:rPr>
          <w:rFonts w:ascii="Times New Roman" w:cs="Times New Roman" w:eastAsia="Times New Roman" w:hAnsi="Times New Roman"/>
          <w:color w:val="000000"/>
          <w:sz w:val="22"/>
          <w:szCs w:val="22"/>
        </w:rPr>
        <w:t xml:space="preserve"/>
      </w:r>
    </w:p>
    <w:p>
      <w:pPr>
        <w:pStyle w:val="Heading3"/>
        <w:spacing w:after="100" w:before="200"/>
      </w:pPr>
      <w:r>
        <w:rPr>
          <w:rFonts w:ascii="Times New Roman" w:cs="Times New Roman" w:eastAsia="Times New Roman" w:hAnsi="Times New Roman"/>
          <w:b/>
          <w:bCs/>
          <w:color w:val="595959"/>
          <w:sz w:val="24"/>
          <w:szCs w:val="24"/>
        </w:rPr>
        <w:t xml:space="preserve">Cap. 2 — P29 (§2.3.4) — Barrett et al. (2019): recalibración expresión facial</w:t>
      </w:r>
    </w:p>
    <w:p>
      <w:pPr>
        <w:spacing w:after="120"/>
      </w:pPr>
      <w:r>
        <w:rPr>
          <w:rFonts w:ascii="Times New Roman" w:cs="Times New Roman" w:eastAsia="Times New Roman" w:hAnsi="Times New Roman"/>
          <w:i/>
          <w:iCs/>
          <w:color w:val="8B0000"/>
          <w:sz w:val="18"/>
          <w:szCs w:val="18"/>
        </w:rPr>
        <w:t xml:space="preserve">INSTRUCCIÓN: Reemplazar el párrafo P29 que empieza 'El análisis de la expresión facial...' por el siguiente:</w:t>
      </w:r>
    </w:p>
    <w:p>
      <w:pPr>
        <w:spacing w:after="200" w:line="360"/>
        <w:jc w:val="both"/>
      </w:pPr>
      <w:r>
        <w:rPr>
          <w:rFonts w:ascii="Times New Roman" w:cs="Times New Roman" w:eastAsia="Times New Roman" w:hAnsi="Times New Roman"/>
          <w:color w:val="000000"/>
          <w:sz w:val="22"/>
          <w:szCs w:val="22"/>
        </w:rPr>
        <w:t xml:space="preserve">El análisis de la expresión facial en contextos de rendición de cuentas forense ha recibido atención creciente en la literatura. Sin embargo, una revisión sistemática de 68 páginas de Barrett et al. (2019) —la referencia más citada sobre el tema en la última década— demuestra que las configuraciones faciales no decodifican estados emocionales internos de manera directa ni universal. Las expresiones faciales son altamente dependientes del contexto cultural, del rol social del hablante y de las normas comunicativas del espacio donde ocurren. Crivelli y Fridlund (2018) complementan este hallazgo demostrando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en esta investigación: el ICM no mide sinceridad individual —afirmación insostenible científicamente—, sino patrones de congruencia entre canales comunicativos a nivel de corpus. Un hallazgo disruptivo relevante (Scientific Reports, 2024) es que la culpa no tiene un display facial discreto identificable: el frowning (AU4) y el nod (inclinación) son los únicos marcadores replicables, lo que refuerza la decisión de operar a nivel de corpus y no de individuo.</w:t>
      </w:r>
    </w:p>
    <w:p>
      <w:pPr>
        <w:spacing w:after="80"/>
        <w:ind w:left="400"/>
      </w:pPr>
      <w:r>
        <w:rPr>
          <w:rFonts w:ascii="Times New Roman" w:cs="Times New Roman" w:eastAsia="Times New Roman" w:hAnsi="Times New Roman"/>
          <w:i/>
          <w:iCs/>
          <w:color w:val="2E4057"/>
          <w:sz w:val="18"/>
          <w:szCs w:val="18"/>
        </w:rPr>
        <w:t xml:space="preserve">Barrett, L. F., Adolphs, R., Marsella, S., Martinez, A. M., y Pollak, S. D. (2019). Emotional Expressions Reconsidered: Challenges to Inferring Emotion From Human Facial Movements. Psychological Science in the Public Interest, 20(1), 1–68. https://doi.org/10.1177/1529100619832930</w:t>
      </w:r>
    </w:p>
    <w:p>
      <w:pPr>
        <w:spacing w:after="80"/>
        <w:ind w:left="400"/>
      </w:pPr>
      <w:r>
        <w:rPr>
          <w:rFonts w:ascii="Times New Roman" w:cs="Times New Roman" w:eastAsia="Times New Roman" w:hAnsi="Times New Roman"/>
          <w:i/>
          <w:iCs/>
          <w:color w:val="2E4057"/>
          <w:sz w:val="18"/>
          <w:szCs w:val="18"/>
        </w:rPr>
        <w:t xml:space="preserve">Crivelli, C., y Fridlund, A. J. (2018). Facial Displays Are Tools for Social Influence. Trends in Cognitive Sciences, 22(5), 388–399.</w:t>
      </w:r>
    </w:p>
    <w:p>
      <w:pPr>
        <w:spacing w:after="80"/>
        <w:ind w:left="400"/>
      </w:pPr>
      <w:r>
        <w:rPr>
          <w:rFonts w:ascii="Times New Roman" w:cs="Times New Roman" w:eastAsia="Times New Roman" w:hAnsi="Times New Roman"/>
          <w:i/>
          <w:iCs/>
          <w:color w:val="2E4057"/>
          <w:sz w:val="18"/>
          <w:szCs w:val="18"/>
        </w:rPr>
        <w:t xml:space="preserve">Reisenzein, R., Studtmann, M., y Horstmann, G. (2013). Coherence between Emotion and Facial Expression: Evidence from Laboratory Experiments. Emotion Review, 5(1), 16–23.</w:t>
      </w:r>
    </w:p>
    <w:p>
      <w:pPr>
        <w:spacing w:after="100"/>
      </w:pPr>
      <w:r>
        <w:rPr>
          <w:rFonts w:ascii="Times New Roman" w:cs="Times New Roman" w:eastAsia="Times New Roman" w:hAnsi="Times New Roman"/>
          <w:color w:val="000000"/>
          <w:sz w:val="22"/>
          <w:szCs w:val="22"/>
        </w:rPr>
        <w:t xml:space="preserve"/>
      </w:r>
    </w:p>
    <w:p>
      <w:pPr>
        <w:pStyle w:val="Heading3"/>
        <w:spacing w:after="100" w:before="200"/>
      </w:pPr>
      <w:r>
        <w:rPr>
          <w:rFonts w:ascii="Times New Roman" w:cs="Times New Roman" w:eastAsia="Times New Roman" w:hAnsi="Times New Roman"/>
          <w:b/>
          <w:bCs/>
          <w:color w:val="595959"/>
          <w:sz w:val="24"/>
          <w:szCs w:val="24"/>
        </w:rPr>
        <w:t xml:space="preserve">Cap. 2 — P18 (§2.2) — Sap et al. (2017), Mendelsohn et al. (2020), Antoniak et al. (2023)</w:t>
      </w:r>
    </w:p>
    <w:p>
      <w:pPr>
        <w:spacing w:after="120"/>
      </w:pPr>
      <w:r>
        <w:rPr>
          <w:rFonts w:ascii="Times New Roman" w:cs="Times New Roman" w:eastAsia="Times New Roman" w:hAnsi="Times New Roman"/>
          <w:i/>
          <w:iCs/>
          <w:color w:val="8B0000"/>
          <w:sz w:val="18"/>
          <w:szCs w:val="18"/>
        </w:rPr>
        <w:t xml:space="preserve">INSTRUCCIÓN: Agregar al final del párrafo P18 (que termina '...ni la comparación con el discurso de las víctimas.') el siguiente párrafo:</w:t>
      </w:r>
    </w:p>
    <w:p>
      <w:pPr>
        <w:spacing w:after="200" w:line="360"/>
        <w:jc w:val="both"/>
      </w:pPr>
      <w:r>
        <w:rPr>
          <w:rFonts w:ascii="Times New Roman" w:cs="Times New Roman" w:eastAsia="Times New Roman" w:hAnsi="Times New Roman"/>
          <w:color w:val="000000"/>
          <w:sz w:val="22"/>
          <w:szCs w:val="22"/>
        </w:rPr>
        <w:t xml:space="preserve">Los mecanismos de violencia discursiva que la CFH busca medir tienen referentes directos en la literatura NLP. El marco de los Connotation Frames of Power and Agency (Sap et al., 2017) provee un fundamento computacional para el indicador y₂ Supresión de Agentividad: los verbos en el discurso judicial proyectan relaciones de poder y agencia entre agente y paciente que pueden cuantificarse. Antoniak et al. (2023) operacionalizan este marco en Riveter, un pipeline de código abierto para medir poder y dinámica social entre entidades en texto, directamente aplicable a corpus en español mediante adaptación. Mendelsohn et al. (2020) desarrollan un framework computacional de deshumanización con métricas operativas sobre corpus de texto, que fundamenta el indicador y₄ Negación de Victimización: el eufemismo bélico que convierte civiles en «bajas en combate» es una forma de deshumanización discursiva cuantificable.</w:t>
      </w:r>
    </w:p>
    <w:p>
      <w:pPr>
        <w:spacing w:after="80"/>
        <w:ind w:left="400"/>
      </w:pPr>
      <w:r>
        <w:rPr>
          <w:rFonts w:ascii="Times New Roman" w:cs="Times New Roman" w:eastAsia="Times New Roman" w:hAnsi="Times New Roman"/>
          <w:i/>
          <w:iCs/>
          <w:color w:val="2E4057"/>
          <w:sz w:val="18"/>
          <w:szCs w:val="18"/>
        </w:rPr>
        <w:t xml:space="preserve">Sap, M., Swayamdipta, S., Viswanathan, L., Zhou, X., Choi, Y., y Smith, N. A. (2017). Connotation Frames of Power and Agency in Modern Films. Proceedings of EMNLP 2017, 2971–2976.</w:t>
      </w:r>
    </w:p>
    <w:p>
      <w:pPr>
        <w:spacing w:after="80"/>
        <w:ind w:left="400"/>
      </w:pPr>
      <w:r>
        <w:rPr>
          <w:rFonts w:ascii="Times New Roman" w:cs="Times New Roman" w:eastAsia="Times New Roman" w:hAnsi="Times New Roman"/>
          <w:i/>
          <w:iCs/>
          <w:color w:val="2E4057"/>
          <w:sz w:val="18"/>
          <w:szCs w:val="18"/>
        </w:rPr>
        <w:t xml:space="preserve">Antoniak, M., Field, A., Bishop, M., Sap, M., y Jurgens, D. (2023). Riveter: Measuring Power and Social Dynamics Between Entities. Proceedings of ACL 2023 (System Demonstrations).</w:t>
      </w:r>
    </w:p>
    <w:p>
      <w:pPr>
        <w:spacing w:after="80"/>
        <w:ind w:left="400"/>
      </w:pPr>
      <w:r>
        <w:rPr>
          <w:rFonts w:ascii="Times New Roman" w:cs="Times New Roman" w:eastAsia="Times New Roman" w:hAnsi="Times New Roman"/>
          <w:i/>
          <w:iCs/>
          <w:color w:val="2E4057"/>
          <w:sz w:val="18"/>
          <w:szCs w:val="18"/>
        </w:rPr>
        <w:t xml:space="preserve">Mendelsohn, J., Tsvetkov, Y., y Jurafsky, D. (2020). A Framework for the Computational Linguistic Analysis of Dehumanization. Frontiers in Artificial Intelligence, 3, 55.</w:t>
      </w:r>
    </w:p>
    <w:p>
      <w:pPr>
        <w:spacing w:after="100"/>
      </w:pPr>
      <w:r>
        <w:rPr>
          <w:rFonts w:ascii="Times New Roman" w:cs="Times New Roman" w:eastAsia="Times New Roman" w:hAnsi="Times New Roman"/>
          <w:color w:val="000000"/>
          <w:sz w:val="22"/>
          <w:szCs w:val="22"/>
        </w:rPr>
        <w:t xml:space="preserve"/>
      </w:r>
    </w:p>
    <w:p>
      <w:pPr>
        <w:pStyle w:val="Heading2"/>
        <w:spacing w:after="160" w:before="300"/>
      </w:pPr>
      <w:r>
        <w:rPr>
          <w:rFonts w:ascii="Times New Roman" w:cs="Times New Roman" w:eastAsia="Times New Roman" w:hAnsi="Times New Roman"/>
          <w:b/>
          <w:bCs/>
          <w:color w:val="000000"/>
          <w:sz w:val="26"/>
          <w:szCs w:val="26"/>
        </w:rPr>
        <w:t xml:space="preserve">CAPÍTULO 3 — Marco teórico</w:t>
      </w:r>
    </w:p>
    <w:p>
      <w:pPr>
        <w:pStyle w:val="Heading3"/>
        <w:spacing w:after="100" w:before="200"/>
      </w:pPr>
      <w:r>
        <w:rPr>
          <w:rFonts w:ascii="Times New Roman" w:cs="Times New Roman" w:eastAsia="Times New Roman" w:hAnsi="Times New Roman"/>
          <w:b/>
          <w:bCs/>
          <w:color w:val="595959"/>
          <w:sz w:val="24"/>
          <w:szCs w:val="24"/>
        </w:rPr>
        <w:t xml:space="preserve">Cap. 3 — P7 (§3.1) — Sap 2017 + Mendelsohn 2020 en mecanismos SA y NV</w:t>
      </w:r>
    </w:p>
    <w:p>
      <w:pPr>
        <w:spacing w:after="120"/>
      </w:pPr>
      <w:r>
        <w:rPr>
          <w:rFonts w:ascii="Times New Roman" w:cs="Times New Roman" w:eastAsia="Times New Roman" w:hAnsi="Times New Roman"/>
          <w:i/>
          <w:iCs/>
          <w:color w:val="8B0000"/>
          <w:sz w:val="18"/>
          <w:szCs w:val="18"/>
        </w:rPr>
        <w:t xml:space="preserve">INSTRUCCIÓN: Reemplazar el párrafo P7 que empieza 'Para los propósitos de esta investigación, la violencia cultural lingüística...' por el siguiente:</w:t>
      </w:r>
    </w:p>
    <w:p>
      <w:pPr>
        <w:spacing w:after="200" w:line="360"/>
        <w:jc w:val="both"/>
      </w:pPr>
      <w:r>
        <w:rPr>
          <w:rFonts w:ascii="Times New Roman" w:cs="Times New Roman" w:eastAsia="Times New Roman" w:hAnsi="Times New Roman"/>
          <w:color w:val="000000"/>
          <w:sz w:val="22"/>
          <w:szCs w:val="22"/>
        </w:rPr>
        <w:t xml:space="preserve">Para los propósitos de esta investigación, la violencia cultural lingüística se operacionaliza a través de tres mecanismos discursivos: el Eufemismo Bélico-Institucional (EBI), que opera sobre el vocabulario transformando «asesinato de civil» en «baja en combate legítimo»; la Supresión de Agentividad (SA), que opera sobre la gramática ocultando al responsable a través de construcciones pasivas y nominalizaciones (Sap et al., 2017); y la Negación de Victimización (NV), que opera sobre el encuadre cognitivo negando la humanidad de las víctimas mediante su designación como combatientes (Mendelsohn et al., 2020). Estos tres mecanismos no son exclusivamente lingüísticos: son estrategias institucionales sistemáticas que el análisis computacional permite identificar y cuantificar a escala sobre el corpus judicial completo. El framework CFH mide su presencia diferencial entre la justicia ordinaria (Corpus A) y la JEP (Corpus B) para determinar si la justicia transicional produce una ruptura discursiva real con las formas de violencia cultural lingüística del archivo militar.</w:t>
      </w:r>
    </w:p>
    <w:p>
      <w:pPr>
        <w:spacing w:after="80"/>
        <w:ind w:left="400"/>
      </w:pPr>
      <w:r>
        <w:rPr>
          <w:rFonts w:ascii="Times New Roman" w:cs="Times New Roman" w:eastAsia="Times New Roman" w:hAnsi="Times New Roman"/>
          <w:i/>
          <w:iCs/>
          <w:color w:val="2E4057"/>
          <w:sz w:val="18"/>
          <w:szCs w:val="18"/>
        </w:rPr>
        <w:t xml:space="preserve">Sap, M., et al. (2017). Connotation Frames of Power and Agency in Modern Films. Proceedings of EMNLP 2017.</w:t>
      </w:r>
    </w:p>
    <w:p>
      <w:pPr>
        <w:spacing w:after="80"/>
        <w:ind w:left="400"/>
      </w:pPr>
      <w:r>
        <w:rPr>
          <w:rFonts w:ascii="Times New Roman" w:cs="Times New Roman" w:eastAsia="Times New Roman" w:hAnsi="Times New Roman"/>
          <w:i/>
          <w:iCs/>
          <w:color w:val="2E4057"/>
          <w:sz w:val="18"/>
          <w:szCs w:val="18"/>
        </w:rPr>
        <w:t xml:space="preserve">Mendelsohn, J., Tsvetkov, Y., y Jurafsky, D. (2020). A Framework for the Computational Linguistic Analysis of Dehumanization. Frontiers in Artificial Intelligence, 3, 55.</w:t>
      </w:r>
    </w:p>
    <w:p>
      <w:pPr>
        <w:spacing w:after="100"/>
      </w:pPr>
      <w:r>
        <w:rPr>
          <w:rFonts w:ascii="Times New Roman" w:cs="Times New Roman" w:eastAsia="Times New Roman" w:hAnsi="Times New Roman"/>
          <w:color w:val="000000"/>
          <w:sz w:val="22"/>
          <w:szCs w:val="22"/>
        </w:rPr>
        <w:t xml:space="preserve"/>
      </w:r>
    </w:p>
    <w:p>
      <w:pPr>
        <w:pStyle w:val="Heading3"/>
        <w:spacing w:after="100" w:before="200"/>
      </w:pPr>
      <w:r>
        <w:rPr>
          <w:rFonts w:ascii="Times New Roman" w:cs="Times New Roman" w:eastAsia="Times New Roman" w:hAnsi="Times New Roman"/>
          <w:b/>
          <w:bCs/>
          <w:color w:val="595959"/>
          <w:sz w:val="24"/>
          <w:szCs w:val="24"/>
        </w:rPr>
        <w:t xml:space="preserve">Cap. 3 — P30-P33 (§3.6.2) — Barrett 2019 en ICM recalibrado</w:t>
      </w:r>
    </w:p>
    <w:p>
      <w:pPr>
        <w:spacing w:after="120"/>
      </w:pPr>
      <w:r>
        <w:rPr>
          <w:rFonts w:ascii="Times New Roman" w:cs="Times New Roman" w:eastAsia="Times New Roman" w:hAnsi="Times New Roman"/>
          <w:i/>
          <w:iCs/>
          <w:color w:val="8B0000"/>
          <w:sz w:val="18"/>
          <w:szCs w:val="18"/>
        </w:rPr>
        <w:t xml:space="preserve">INSTRUCCIÓN: Reemplazar el párrafo P30 que empieza 'El Índice de Congruencia Multimodal (ICM)...' por el siguiente bloque:</w:t>
      </w:r>
    </w:p>
    <w:p>
      <w:pPr>
        <w:spacing w:after="200" w:line="360"/>
        <w:jc w:val="both"/>
      </w:pPr>
      <w:r>
        <w:rPr>
          <w:rFonts w:ascii="Times New Roman" w:cs="Times New Roman" w:eastAsia="Times New Roman" w:hAnsi="Times New Roman"/>
          <w:color w:val="000000"/>
          <w:sz w:val="22"/>
          <w:szCs w:val="22"/>
        </w:rPr>
        <w:t xml:space="preserve">El Índice de Congruencia Multimodal (ICM) es la contribución metodológica más original de la CFH y operacionaliza directamente el concepto de reconocimiento genuino de Fraser y Zehr. Sin embargo, su diseño requiere una cautela epistemológica fundamental anclada en el estado científico actual: las expresiones faciales no decodifican estados emocionales internos de manera universal ni directa. Barrett et al. (2019) demuestran, en una revisión de 68 páginas de evidencia sistemática, que una misma configuración facial comunica cosas distintas en contextos diferentes. Crivelli y Fridlund (2018) argumentan que las caras son actos comunicativos contextuales, no ventanas al interior psicológico. Reisenzein et al. (2013) confirman que la coherencia entre emoción genuina y expresión facial es baja incluso en condiciones controladas.</w:t>
      </w:r>
    </w:p>
    <w:p>
      <w:pPr>
        <w:spacing w:after="200" w:line="360"/>
        <w:jc w:val="both"/>
      </w:pPr>
      <w:r>
        <w:rPr>
          <w:rFonts w:ascii="Times New Roman" w:cs="Times New Roman" w:eastAsia="Times New Roman" w:hAnsi="Times New Roman"/>
          <w:color w:val="000000"/>
          <w:sz w:val="22"/>
          <w:szCs w:val="22"/>
        </w:rPr>
        <w:t xml:space="preserve">Estas tres referencias son fundacionales para la definición correcta del ICM en esta tesis: el ICM no mide sinceridad individual —afirmación insostenible científicamente y peligrosa éticamente—. El ICM mide la congruencia entre los tres canales comunicativos del compareciente —verbal, vocal y facial— a nivel de corpus. Un ICM alto indica que los tres canales se orientan en la misma dirección discursiva (distress y reconocimiento); un ICM bajo indica divergencia entre canales. Esta es una observación sobre el patrón comunicativo del corpus, no un juicio sobre el estado psicológico de ningún individuo.</w:t>
      </w:r>
    </w:p>
    <w:p>
      <w:pPr>
        <w:spacing w:after="200" w:line="360"/>
        <w:jc w:val="both"/>
      </w:pPr>
      <w:r>
        <w:rPr>
          <w:rFonts w:ascii="Times New Roman" w:cs="Times New Roman" w:eastAsia="Times New Roman" w:hAnsi="Times New Roman"/>
          <w:color w:val="000000"/>
          <w:sz w:val="22"/>
          <w:szCs w:val="22"/>
        </w:rPr>
        <w:t xml:space="preserve">La distinción operativa relevante para los hallazgos de la Capa 3 es entre reconocimiento congruente —donde los tres canales convergen— y reconocimiento incongruente —donde hay divergencia entre canales—. Esta distinción se operacionaliza en el ICM facial v3 como: ICM = distress_medio / (distress_medio + sonrisa_media), donde distress = AU4 (ceño fruncido) + AU15 (labios hacia abajo) + AU17 (mentón elevado).</w:t>
      </w:r>
    </w:p>
    <w:p>
      <w:pPr>
        <w:spacing w:after="80"/>
        <w:ind w:left="400"/>
      </w:pPr>
      <w:r>
        <w:rPr>
          <w:rFonts w:ascii="Times New Roman" w:cs="Times New Roman" w:eastAsia="Times New Roman" w:hAnsi="Times New Roman"/>
          <w:i/>
          <w:iCs/>
          <w:color w:val="2E4057"/>
          <w:sz w:val="18"/>
          <w:szCs w:val="18"/>
        </w:rPr>
        <w:t xml:space="preserve">Barrett, L. F., et al. (2019). Emotional Expressions Reconsidered. Psychological Science in the Public Interest, 20(1), 1–68.</w:t>
      </w:r>
    </w:p>
    <w:p>
      <w:pPr>
        <w:spacing w:after="80"/>
        <w:ind w:left="400"/>
      </w:pPr>
      <w:r>
        <w:rPr>
          <w:rFonts w:ascii="Times New Roman" w:cs="Times New Roman" w:eastAsia="Times New Roman" w:hAnsi="Times New Roman"/>
          <w:i/>
          <w:iCs/>
          <w:color w:val="2E4057"/>
          <w:sz w:val="18"/>
          <w:szCs w:val="18"/>
        </w:rPr>
        <w:t xml:space="preserve">Crivelli, C., y Fridlund, A. J. (2018). Facial Displays Are Tools for Social Influence. Trends in Cognitive Sciences, 22(5), 388–399.</w:t>
      </w:r>
    </w:p>
    <w:p>
      <w:pPr>
        <w:spacing w:after="80"/>
        <w:ind w:left="400"/>
      </w:pPr>
      <w:r>
        <w:rPr>
          <w:rFonts w:ascii="Times New Roman" w:cs="Times New Roman" w:eastAsia="Times New Roman" w:hAnsi="Times New Roman"/>
          <w:i/>
          <w:iCs/>
          <w:color w:val="2E4057"/>
          <w:sz w:val="18"/>
          <w:szCs w:val="18"/>
        </w:rPr>
        <w:t xml:space="preserve">Reisenzein, R., et al. (2013). Coherence between Emotion and Facial Expression. Emotion Review, 5(1), 16–23.</w:t>
      </w:r>
    </w:p>
    <w:p>
      <w:pPr>
        <w:spacing w:after="100"/>
      </w:pPr>
      <w:r>
        <w:rPr>
          <w:rFonts w:ascii="Times New Roman" w:cs="Times New Roman" w:eastAsia="Times New Roman" w:hAnsi="Times New Roman"/>
          <w:color w:val="000000"/>
          <w:sz w:val="22"/>
          <w:szCs w:val="22"/>
        </w:rPr>
        <w:t xml:space="preserve"/>
      </w:r>
    </w:p>
    <w:p>
      <w:pPr>
        <w:pStyle w:val="Heading2"/>
        <w:spacing w:after="160" w:before="300"/>
      </w:pPr>
      <w:r>
        <w:rPr>
          <w:rFonts w:ascii="Times New Roman" w:cs="Times New Roman" w:eastAsia="Times New Roman" w:hAnsi="Times New Roman"/>
          <w:b/>
          <w:bCs/>
          <w:color w:val="000000"/>
          <w:sz w:val="26"/>
          <w:szCs w:val="26"/>
        </w:rPr>
        <w:t xml:space="preserve">CAPÍTULO 4 — Metodología</w:t>
      </w:r>
    </w:p>
    <w:p>
      <w:pPr>
        <w:pStyle w:val="Heading3"/>
        <w:spacing w:after="100" w:before="200"/>
      </w:pPr>
      <w:r>
        <w:rPr>
          <w:rFonts w:ascii="Times New Roman" w:cs="Times New Roman" w:eastAsia="Times New Roman" w:hAnsi="Times New Roman"/>
          <w:b/>
          <w:bCs/>
          <w:color w:val="595959"/>
          <w:sz w:val="24"/>
          <w:szCs w:val="24"/>
        </w:rPr>
        <w:t xml:space="preserve">Cap. 4 — P48 (§4.5.4.3) — Barrett 2019 + Sen 2024 en ICM</w:t>
      </w:r>
    </w:p>
    <w:p>
      <w:pPr>
        <w:spacing w:after="120"/>
      </w:pPr>
      <w:r>
        <w:rPr>
          <w:rFonts w:ascii="Times New Roman" w:cs="Times New Roman" w:eastAsia="Times New Roman" w:hAnsi="Times New Roman"/>
          <w:i/>
          <w:iCs/>
          <w:color w:val="8B0000"/>
          <w:sz w:val="18"/>
          <w:szCs w:val="18"/>
        </w:rPr>
        <w:t xml:space="preserve">INSTRUCCIÓN: Reemplazar el párrafo P48 que empieza '4.5.4.3 Índice de Congruencia Multimodal (ICM)...' por el siguiente bloque:</w:t>
      </w:r>
    </w:p>
    <w:p>
      <w:pPr>
        <w:spacing w:after="200" w:line="360"/>
        <w:jc w:val="both"/>
      </w:pPr>
      <w:r>
        <w:rPr>
          <w:rFonts w:ascii="Times New Roman" w:cs="Times New Roman" w:eastAsia="Times New Roman" w:hAnsi="Times New Roman"/>
          <w:color w:val="000000"/>
          <w:sz w:val="22"/>
          <w:szCs w:val="22"/>
        </w:rPr>
        <w:t xml:space="preserve">4.5.4.3 Índice de Congruencia Multimodal (ICM)</w:t>
      </w:r>
    </w:p>
    <w:p>
      <w:pPr>
        <w:spacing w:after="200" w:line="360"/>
        <w:jc w:val="both"/>
      </w:pPr>
      <w:r>
        <w:rPr>
          <w:rFonts w:ascii="Times New Roman" w:cs="Times New Roman" w:eastAsia="Times New Roman" w:hAnsi="Times New Roman"/>
          <w:color w:val="000000"/>
          <w:sz w:val="22"/>
          <w:szCs w:val="22"/>
        </w:rPr>
        <w:t xml:space="preserve">El ICM combina los tres canales —verbal (ConfliBERT REP score), vocal (eGeMAPS pendiente), facial (MediaPipe AUs)— en un índice de congruencia comunicativa. Es imprescindible declarar explícitamente los límites epistemológicos del ICM. Conforme a Barrett et al. (2019), las configuraciones faciales no decodifican estados emocionales internos de manera universal ni directa; Crivelli y Fridlund (2018) demuestran que las expresiones son actos comunicativos contextuales; Reisenzein et al. (2013) confirman que la coherencia emoción-expresión es baja incluso en emoción genuina. Por estas razones, el ICM no mide ni pretende medir sinceridad, autenticidad psicológica individual ni culpa. Es una medida de congruencia entre señales comunicativas multimodales a nivel de corpus. Adicionalmente, conforme a Sen et al. (2024), los modelos entrenados en contextos low-stakes no transfieren a high-stakes: por ello, la CFH no recicla modelos preentrenados sino que calibra el ICM desde el propio corpus del Macrocaso 003.</w:t>
      </w:r>
    </w:p>
    <w:p>
      <w:pPr>
        <w:spacing w:after="200" w:line="360"/>
        <w:jc w:val="both"/>
      </w:pPr>
      <w:r>
        <w:rPr>
          <w:rFonts w:ascii="Times New Roman" w:cs="Times New Roman" w:eastAsia="Times New Roman" w:hAnsi="Times New Roman"/>
          <w:color w:val="000000"/>
          <w:sz w:val="22"/>
          <w:szCs w:val="22"/>
        </w:rPr>
        <w:t xml:space="preserve">La versión implementada calcula ICM facial = distress_medio / (distress_medio + sonrisa_media), donde distress = AU4 + AU15 + AU17, sobre los segmentos del compareciente diarizados. La versión tri-canal (verbal + vocal + facial) queda pendiente de la extracción eGeMAPS (E4, Colab Pro). El disclaimer epistémico completo se incluye en el Model Card del repositorio y en nota al pie de §5.9.</w:t>
      </w:r>
    </w:p>
    <w:p>
      <w:pPr>
        <w:spacing w:after="80"/>
        <w:ind w:left="400"/>
      </w:pPr>
      <w:r>
        <w:rPr>
          <w:rFonts w:ascii="Times New Roman" w:cs="Times New Roman" w:eastAsia="Times New Roman" w:hAnsi="Times New Roman"/>
          <w:i/>
          <w:iCs/>
          <w:color w:val="2E4057"/>
          <w:sz w:val="18"/>
          <w:szCs w:val="18"/>
        </w:rPr>
        <w:t xml:space="preserve">Barrett, L. F., et al. (2019). Emotional Expressions Reconsidered. Psychological Science in the Public Interest, 20(1), 1–68.</w:t>
      </w:r>
    </w:p>
    <w:p>
      <w:pPr>
        <w:spacing w:after="80"/>
        <w:ind w:left="400"/>
      </w:pPr>
      <w:r>
        <w:rPr>
          <w:rFonts w:ascii="Times New Roman" w:cs="Times New Roman" w:eastAsia="Times New Roman" w:hAnsi="Times New Roman"/>
          <w:i/>
          <w:iCs/>
          <w:color w:val="2E4057"/>
          <w:sz w:val="18"/>
          <w:szCs w:val="18"/>
        </w:rPr>
        <w:t xml:space="preserve">Crivelli, C., y Fridlund, A. J. (2018). Facial Displays Are Tools for Social Influence. Trends in Cognitive Sciences, 22(5), 388–399.</w:t>
      </w:r>
    </w:p>
    <w:p>
      <w:pPr>
        <w:spacing w:after="80"/>
        <w:ind w:left="400"/>
      </w:pPr>
      <w:r>
        <w:rPr>
          <w:rFonts w:ascii="Times New Roman" w:cs="Times New Roman" w:eastAsia="Times New Roman" w:hAnsi="Times New Roman"/>
          <w:i/>
          <w:iCs/>
          <w:color w:val="2E4057"/>
          <w:sz w:val="18"/>
          <w:szCs w:val="18"/>
        </w:rPr>
        <w:t xml:space="preserve">Sen, S., et al. (2024). Deception detection: transfer limitations from low-stakes to high-stakes. Expert Systems with Applications, 213, 119048.</w:t>
      </w:r>
    </w:p>
    <w:p>
      <w:pPr>
        <w:spacing w:after="100"/>
      </w:pPr>
      <w:r>
        <w:rPr>
          <w:rFonts w:ascii="Times New Roman" w:cs="Times New Roman" w:eastAsia="Times New Roman" w:hAnsi="Times New Roman"/>
          <w:color w:val="000000"/>
          <w:sz w:val="22"/>
          <w:szCs w:val="22"/>
        </w:rPr>
        <w:t xml:space="preserve"/>
      </w:r>
    </w:p>
    <w:p>
      <w:pPr>
        <w:pStyle w:val="Heading3"/>
        <w:spacing w:after="100" w:before="200"/>
      </w:pPr>
      <w:r>
        <w:rPr>
          <w:rFonts w:ascii="Times New Roman" w:cs="Times New Roman" w:eastAsia="Times New Roman" w:hAnsi="Times New Roman"/>
          <w:b/>
          <w:bCs/>
          <w:color w:val="595959"/>
          <w:sz w:val="24"/>
          <w:szCs w:val="24"/>
        </w:rPr>
        <w:t xml:space="preserve">Cap. 4 — P45 (§4.5.4.1) — Buolamwini &amp; Gebru (2018): bias facial</w:t>
      </w:r>
    </w:p>
    <w:p>
      <w:pPr>
        <w:spacing w:after="120"/>
      </w:pPr>
      <w:r>
        <w:rPr>
          <w:rFonts w:ascii="Times New Roman" w:cs="Times New Roman" w:eastAsia="Times New Roman" w:hAnsi="Times New Roman"/>
          <w:i/>
          <w:iCs/>
          <w:color w:val="8B0000"/>
          <w:sz w:val="18"/>
          <w:szCs w:val="18"/>
        </w:rPr>
        <w:t xml:space="preserve">INSTRUCCIÓN: Agregar al final del párrafo P45 (§4.5.4.1 Features faciales) el siguiente texto:</w:t>
      </w:r>
    </w:p>
    <w:p>
      <w:pPr>
        <w:spacing w:after="200" w:line="360"/>
        <w:jc w:val="both"/>
      </w:pPr>
      <w:r>
        <w:rPr>
          <w:rFonts w:ascii="Times New Roman" w:cs="Times New Roman" w:eastAsia="Times New Roman" w:hAnsi="Times New Roman"/>
          <w:color w:val="000000"/>
          <w:sz w:val="22"/>
          <w:szCs w:val="22"/>
        </w:rPr>
        <w:t xml:space="preserve">Una limitación metodológica crítica de MediaPipe FaceLandmarker —y de todos los modelos de análisis de Action Units disponibles públicamente— es su sesgo de entrenamiento. Buolamwini y Gebru (2018) demostraron en el estudio Gender Shades que los clasificadores de reconocimiento facial comerciales presentan tasas de error significativamente mayores en mujeres de piel oscura que en hombres de piel clara (hasta 34.7 puntos de diferencia). No existe auditoría pública de MediaPipe sobre rostros mestizos, afrocolombianos o indígenas. Los resultados de la Capa 3 facial deben interpretarse con esta limitación explícita, y una auditoría intersectional completa conforme al protocolo Gender Shades es una línea futura prioritaria.</w:t>
      </w:r>
    </w:p>
    <w:p>
      <w:pPr>
        <w:spacing w:after="80"/>
        <w:ind w:left="400"/>
      </w:pPr>
      <w:r>
        <w:rPr>
          <w:rFonts w:ascii="Times New Roman" w:cs="Times New Roman" w:eastAsia="Times New Roman" w:hAnsi="Times New Roman"/>
          <w:i/>
          <w:iCs/>
          <w:color w:val="2E4057"/>
          <w:sz w:val="18"/>
          <w:szCs w:val="18"/>
        </w:rPr>
        <w:t xml:space="preserve">Buolamwini, J., y Gebru, T. (2018). Gender Shades: Intersectional Accuracy Disparities in Commercial Gender Classification. Proceedings of Machine Learning Research, 81, 1–15.</w:t>
      </w:r>
    </w:p>
    <w:p>
      <w:pPr>
        <w:spacing w:after="100"/>
      </w:pPr>
      <w:r>
        <w:rPr>
          <w:rFonts w:ascii="Times New Roman" w:cs="Times New Roman" w:eastAsia="Times New Roman" w:hAnsi="Times New Roman"/>
          <w:color w:val="000000"/>
          <w:sz w:val="22"/>
          <w:szCs w:val="22"/>
        </w:rPr>
        <w:t xml:space="preserve"/>
      </w:r>
    </w:p>
    <w:p>
      <w:pPr>
        <w:pStyle w:val="Heading2"/>
        <w:spacing w:after="160" w:before="300"/>
      </w:pPr>
      <w:r>
        <w:rPr>
          <w:rFonts w:ascii="Times New Roman" w:cs="Times New Roman" w:eastAsia="Times New Roman" w:hAnsi="Times New Roman"/>
          <w:b/>
          <w:bCs/>
          <w:color w:val="000000"/>
          <w:sz w:val="26"/>
          <w:szCs w:val="26"/>
        </w:rPr>
        <w:t xml:space="preserve">CAPÍTULO 5 — Resultados</w:t>
      </w:r>
    </w:p>
    <w:p>
      <w:pPr>
        <w:pStyle w:val="Heading3"/>
        <w:spacing w:after="100" w:before="200"/>
      </w:pPr>
      <w:r>
        <w:rPr>
          <w:rFonts w:ascii="Times New Roman" w:cs="Times New Roman" w:eastAsia="Times New Roman" w:hAnsi="Times New Roman"/>
          <w:b/>
          <w:bCs/>
          <w:color w:val="595959"/>
          <w:sz w:val="24"/>
          <w:szCs w:val="24"/>
        </w:rPr>
        <w:t xml:space="preserve">Cap. 5 — P34 (§5.9) — Barrett 2019: párrafo de apertura Capa 3</w:t>
      </w:r>
    </w:p>
    <w:p>
      <w:pPr>
        <w:spacing w:after="120"/>
      </w:pPr>
      <w:r>
        <w:rPr>
          <w:rFonts w:ascii="Times New Roman" w:cs="Times New Roman" w:eastAsia="Times New Roman" w:hAnsi="Times New Roman"/>
          <w:i/>
          <w:iCs/>
          <w:color w:val="8B0000"/>
          <w:sz w:val="18"/>
          <w:szCs w:val="18"/>
        </w:rPr>
        <w:t xml:space="preserve">INSTRUCCIÓN: Agregar ANTES del párrafo P34 (que empieza 'La Capa 3 multimodal del framework CFH extrae...') el siguiente párrafo de apertura:</w:t>
      </w:r>
    </w:p>
    <w:p>
      <w:pPr>
        <w:spacing w:after="200" w:line="360"/>
        <w:jc w:val="both"/>
      </w:pPr>
      <w:r>
        <w:rPr>
          <w:rFonts w:ascii="Times New Roman" w:cs="Times New Roman" w:eastAsia="Times New Roman" w:hAnsi="Times New Roman"/>
          <w:color w:val="000000"/>
          <w:sz w:val="22"/>
          <w:szCs w:val="22"/>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 Los hallazgos son estadísticamente observables y comparativamente interpretativos; las inferencias causales sobre el estado psicológico de los comparecientes están fuera del alcance de este framework.</w:t>
      </w:r>
    </w:p>
    <w:p>
      <w:pPr>
        <w:spacing w:after="80"/>
        <w:ind w:left="400"/>
      </w:pPr>
      <w:r>
        <w:rPr>
          <w:rFonts w:ascii="Times New Roman" w:cs="Times New Roman" w:eastAsia="Times New Roman" w:hAnsi="Times New Roman"/>
          <w:i/>
          <w:iCs/>
          <w:color w:val="2E4057"/>
          <w:sz w:val="18"/>
          <w:szCs w:val="18"/>
        </w:rPr>
        <w:t xml:space="preserve">Barrett, L. F., et al. (2019). Emotional Expressions Reconsidered. Psychological Science in the Public Interest, 20(1), 1–68.</w:t>
      </w:r>
    </w:p>
    <w:p>
      <w:pPr>
        <w:spacing w:after="100"/>
      </w:pPr>
      <w:r>
        <w:rPr>
          <w:rFonts w:ascii="Times New Roman" w:cs="Times New Roman" w:eastAsia="Times New Roman" w:hAnsi="Times New Roman"/>
          <w:color w:val="000000"/>
          <w:sz w:val="22"/>
          <w:szCs w:val="22"/>
        </w:rPr>
        <w:t xml:space="preserve"/>
      </w:r>
    </w:p>
    <w:p>
      <w:pPr>
        <w:pStyle w:val="Heading2"/>
        <w:spacing w:after="160" w:before="300"/>
      </w:pPr>
      <w:r>
        <w:rPr>
          <w:rFonts w:ascii="Times New Roman" w:cs="Times New Roman" w:eastAsia="Times New Roman" w:hAnsi="Times New Roman"/>
          <w:b/>
          <w:bCs/>
          <w:color w:val="000000"/>
          <w:sz w:val="26"/>
          <w:szCs w:val="26"/>
        </w:rPr>
        <w:t xml:space="preserve">CAPÍTULO 6 — Discusión</w:t>
      </w:r>
    </w:p>
    <w:p>
      <w:pPr>
        <w:pStyle w:val="Heading3"/>
        <w:spacing w:after="100" w:before="200"/>
      </w:pPr>
      <w:r>
        <w:rPr>
          <w:rFonts w:ascii="Times New Roman" w:cs="Times New Roman" w:eastAsia="Times New Roman" w:hAnsi="Times New Roman"/>
          <w:b/>
          <w:bCs/>
          <w:color w:val="595959"/>
          <w:sz w:val="24"/>
          <w:szCs w:val="24"/>
        </w:rPr>
        <w:t xml:space="preserve">Cap. 6 — P19-P21 (§6.1.7) — Barrett + Sen + Buolamwini: reformulación hallazgo ICM</w:t>
      </w:r>
    </w:p>
    <w:p>
      <w:pPr>
        <w:spacing w:after="120"/>
      </w:pPr>
      <w:r>
        <w:rPr>
          <w:rFonts w:ascii="Times New Roman" w:cs="Times New Roman" w:eastAsia="Times New Roman" w:hAnsi="Times New Roman"/>
          <w:i/>
          <w:iCs/>
          <w:color w:val="8B0000"/>
          <w:sz w:val="18"/>
          <w:szCs w:val="18"/>
        </w:rPr>
        <w:t xml:space="preserve">INSTRUCCIÓN: Reemplazar los párrafos P19, P20 y P21 (§6.1.7) por los siguientes:</w:t>
      </w:r>
    </w:p>
    <w:p>
      <w:pPr>
        <w:spacing w:after="200" w:line="360"/>
        <w:jc w:val="both"/>
      </w:pPr>
      <w:r>
        <w:rPr>
          <w:rFonts w:ascii="Times New Roman" w:cs="Times New Roman" w:eastAsia="Times New Roman" w:hAnsi="Times New Roman"/>
          <w:color w:val="000000"/>
          <w:sz w:val="22"/>
          <w:szCs w:val="22"/>
        </w:rPr>
        <w:t xml:space="preserve">El hallazgo de la Capa 3 multimodal es un patrón diferenciado de congruencia comunicativa entre subcasos: General Torres Escalante/Casanare (ICM=0.190) &lt; Capitán Chaparro/Catatumbo (ICM=0.272) &lt; Soldados/Huila (ICM=0.299) &lt; Oficial/Dabeiba (ICM=0.353). Este patrón emergió de la comparación de Action Units faciales (MediaPipe FaceLandmarker v3) entre comparecientes de diferentes subcasos y rangos militares.</w:t>
      </w:r>
    </w:p>
    <w:p>
      <w:pPr>
        <w:spacing w:after="200" w:line="360"/>
        <w:jc w:val="both"/>
      </w:pPr>
      <w:r>
        <w:rPr>
          <w:rFonts w:ascii="Times New Roman" w:cs="Times New Roman" w:eastAsia="Times New Roman" w:hAnsi="Times New Roman"/>
          <w:color w:val="000000"/>
          <w:sz w:val="22"/>
          <w:szCs w:val="22"/>
        </w:rPr>
        <w:t xml:space="preserve">Es imprescindible declarar los límites epistemológicos de este hallazgo. Conforme a Barrett et al. (2019), no existe evidencia de que la culpa tenga un display facial discreto universalmente identificable. Las expresiones faciales son actos comunicativos contextuales —Crivelli y Fridlund (2018)— cuya coherencia con el estado emocional subyacente es baja incluso en emoción genuina —Reisenzein et al. (2013). El ICM no mide sinceridad individual. La interpretación correcta del hallazgo es: el subcaso Casanare presenta el patrón de menor congruencia multimodal del corpus (ICM=0.190, dominancia AU12 sonrisa), mientras el subcaso Dabeiba presenta el patrón de mayor congruencia (ICM=0.353, dominancia AU4 ceño fruncido). Esta diferencia correlaciona con la materialidad del acto de reconocimiento en cada subcaso —en Dabeiba se reconocieron 49 fosas físicamente recuperadas—, no con la sinceridad de los comparecientes. Adicionalmente, los modelos de análisis facial no han sido auditados sobre rostros mestizos o afrocolombianos (Buolamwini y Gebru, 2018), lo que limita la generalización.</w:t>
      </w:r>
    </w:p>
    <w:p>
      <w:pPr>
        <w:spacing w:after="200" w:line="360"/>
        <w:jc w:val="both"/>
      </w:pPr>
      <w:r>
        <w:rPr>
          <w:rFonts w:ascii="Times New Roman" w:cs="Times New Roman" w:eastAsia="Times New Roman" w:hAnsi="Times New Roman"/>
          <w:color w:val="000000"/>
          <w:sz w:val="22"/>
          <w:szCs w:val="22"/>
        </w:rPr>
        <w:t xml:space="preserve">La hipótesis inicial de un gradiente simple por rango militar no se confirma completamente: Dabeiba tiene el ICM más alto a pesar de que sus comparecientes son oficiales de rango medio. Lo que sí se confirma es el extremo inferior del patrón: el General Torres Escalante tiene consistentemente el ICM más bajo (0.190) —mayor sonrisa (AU12=0.091) y menor ceño (AU4=0.076) que cualquier otro compareciente del corpus. Este perfil facial es el más consistente con el patrón de baja congruencia comunicativa identificado en el corpus.</w:t>
      </w:r>
    </w:p>
    <w:p>
      <w:pPr>
        <w:spacing w:after="80"/>
        <w:ind w:left="400"/>
      </w:pPr>
      <w:r>
        <w:rPr>
          <w:rFonts w:ascii="Times New Roman" w:cs="Times New Roman" w:eastAsia="Times New Roman" w:hAnsi="Times New Roman"/>
          <w:i/>
          <w:iCs/>
          <w:color w:val="2E4057"/>
          <w:sz w:val="18"/>
          <w:szCs w:val="18"/>
        </w:rPr>
        <w:t xml:space="preserve">Barrett, L. F., et al. (2019). Emotional Expressions Reconsidered. Psychological Science in the Public Interest, 20(1), 1–68.</w:t>
      </w:r>
    </w:p>
    <w:p>
      <w:pPr>
        <w:spacing w:after="80"/>
        <w:ind w:left="400"/>
      </w:pPr>
      <w:r>
        <w:rPr>
          <w:rFonts w:ascii="Times New Roman" w:cs="Times New Roman" w:eastAsia="Times New Roman" w:hAnsi="Times New Roman"/>
          <w:i/>
          <w:iCs/>
          <w:color w:val="2E4057"/>
          <w:sz w:val="18"/>
          <w:szCs w:val="18"/>
        </w:rPr>
        <w:t xml:space="preserve">Crivelli, C., y Fridlund, A. J. (2018). Facial Displays Are Tools for Social Influence. Trends in Cognitive Sciences, 22(5), 388–399.</w:t>
      </w:r>
    </w:p>
    <w:p>
      <w:pPr>
        <w:spacing w:after="80"/>
        <w:ind w:left="400"/>
      </w:pPr>
      <w:r>
        <w:rPr>
          <w:rFonts w:ascii="Times New Roman" w:cs="Times New Roman" w:eastAsia="Times New Roman" w:hAnsi="Times New Roman"/>
          <w:i/>
          <w:iCs/>
          <w:color w:val="2E4057"/>
          <w:sz w:val="18"/>
          <w:szCs w:val="18"/>
        </w:rPr>
        <w:t xml:space="preserve">Reisenzein, R., et al. (2013). Coherence between Emotion and Facial Expression. Emotion Review, 5(1), 16–23.</w:t>
      </w:r>
    </w:p>
    <w:p>
      <w:pPr>
        <w:spacing w:after="80"/>
        <w:ind w:left="400"/>
      </w:pPr>
      <w:r>
        <w:rPr>
          <w:rFonts w:ascii="Times New Roman" w:cs="Times New Roman" w:eastAsia="Times New Roman" w:hAnsi="Times New Roman"/>
          <w:i/>
          <w:iCs/>
          <w:color w:val="2E4057"/>
          <w:sz w:val="18"/>
          <w:szCs w:val="18"/>
        </w:rPr>
        <w:t xml:space="preserve">Buolamwini, J., y Gebru, T. (2018). Gender Shades. Proceedings of Machine Learning Research, 81, 1–15.</w:t>
      </w:r>
    </w:p>
    <w:p>
      <w:pPr>
        <w:spacing w:after="80"/>
        <w:ind w:left="400"/>
      </w:pPr>
      <w:r>
        <w:rPr>
          <w:rFonts w:ascii="Times New Roman" w:cs="Times New Roman" w:eastAsia="Times New Roman" w:hAnsi="Times New Roman"/>
          <w:i/>
          <w:iCs/>
          <w:color w:val="2E4057"/>
          <w:sz w:val="18"/>
          <w:szCs w:val="18"/>
        </w:rPr>
        <w:t xml:space="preserve">Sen, S., et al. (2024). Deception detection: transfer limitations low-stakes to high-stakes. Expert Systems with Applications, 213, 119048.</w:t>
      </w:r>
    </w:p>
    <w:p>
      <w:pPr>
        <w:spacing w:after="100"/>
      </w:pPr>
      <w:r>
        <w:rPr>
          <w:rFonts w:ascii="Times New Roman" w:cs="Times New Roman" w:eastAsia="Times New Roman" w:hAnsi="Times New Roman"/>
          <w:color w:val="000000"/>
          <w:sz w:val="22"/>
          <w:szCs w:val="22"/>
        </w:rPr>
        <w:t xml:space="preserve"/>
      </w:r>
    </w:p>
    <w:p>
      <w:pPr>
        <w:pStyle w:val="Heading3"/>
        <w:spacing w:after="100" w:before="200"/>
      </w:pPr>
      <w:r>
        <w:rPr>
          <w:rFonts w:ascii="Times New Roman" w:cs="Times New Roman" w:eastAsia="Times New Roman" w:hAnsi="Times New Roman"/>
          <w:b/>
          <w:bCs/>
          <w:color w:val="595959"/>
          <w:sz w:val="24"/>
          <w:szCs w:val="24"/>
        </w:rPr>
        <w:t xml:space="preserve">Cap. 6 — P23 — Limitación sen 2024 + Buolamwini confirmada en §6.3.2</w:t>
      </w:r>
    </w:p>
    <w:p>
      <w:pPr>
        <w:spacing w:after="120"/>
      </w:pPr>
      <w:r>
        <w:rPr>
          <w:rFonts w:ascii="Times New Roman" w:cs="Times New Roman" w:eastAsia="Times New Roman" w:hAnsi="Times New Roman"/>
          <w:i/>
          <w:iCs/>
          <w:color w:val="8B0000"/>
          <w:sz w:val="18"/>
          <w:szCs w:val="18"/>
        </w:rPr>
        <w:t xml:space="preserve">INSTRUCCIÓN: Agregar al final del párrafo P23 (que trata la baja detección en Dabeiba y limitaciones de la Capa 3) el siguiente texto:</w:t>
      </w:r>
    </w:p>
    <w:p>
      <w:pPr>
        <w:spacing w:after="200" w:line="360"/>
        <w:jc w:val="both"/>
      </w:pPr>
      <w:r>
        <w:rPr>
          <w:rFonts w:ascii="Times New Roman" w:cs="Times New Roman" w:eastAsia="Times New Roman" w:hAnsi="Times New Roman"/>
          <w:color w:val="000000"/>
          <w:sz w:val="22"/>
          <w:szCs w:val="22"/>
        </w:rPr>
        <w:t xml:space="preserve">Adicionalmente, Sen et al. (2024) advierten que los sistemas de análisis multimodal entrenados en contextos low-stakes —juicios civiles estándar, experimentos de laboratorio— presentan tasas de error significativamente mayores cuando se aplican a contextos high-stakes como audiencias de justicia transicional. Esta limitación de transferencia refuerza la decisión metodológica de la CFH de no usar modelos preentrenados externos sino calibrar el ICM desde el propio corpus del Macrocaso 003. Buolamwini y Gebru (2018) documentan además que los clasificadores faciales comerciales presentan peor desempeño en personas con piel oscura —limitación directamente relevante para un corpus compuesto mayoritariamente por comparecientes afrocolombianos, mestizos e indígenas de las regiones del conflicto.</w:t>
      </w:r>
    </w:p>
    <w:p>
      <w:pPr>
        <w:spacing w:after="100"/>
      </w:pPr>
      <w:r>
        <w:rPr>
          <w:rFonts w:ascii="Times New Roman" w:cs="Times New Roman" w:eastAsia="Times New Roman" w:hAnsi="Times New Roman"/>
          <w:color w:val="000000"/>
          <w:sz w:val="22"/>
          <w:szCs w:val="22"/>
        </w:rPr>
        <w:t xml:space="preserve"/>
      </w:r>
    </w:p>
    <w:p>
      <w:pPr>
        <w:pStyle w:val="Heading2"/>
        <w:spacing w:after="160" w:before="300"/>
      </w:pPr>
      <w:r>
        <w:rPr>
          <w:rFonts w:ascii="Times New Roman" w:cs="Times New Roman" w:eastAsia="Times New Roman" w:hAnsi="Times New Roman"/>
          <w:b/>
          <w:bCs/>
          <w:color w:val="000000"/>
          <w:sz w:val="26"/>
          <w:szCs w:val="26"/>
        </w:rPr>
        <w:t xml:space="preserve">Referencias nuevas para agregar en cada capítulo</w:t>
      </w:r>
    </w:p>
    <w:p>
      <w:pPr>
        <w:spacing w:after="200" w:line="360"/>
        <w:jc w:val="both"/>
      </w:pPr>
      <w:r>
        <w:rPr>
          <w:rFonts w:ascii="Times New Roman" w:cs="Times New Roman" w:eastAsia="Times New Roman" w:hAnsi="Times New Roman"/>
          <w:color w:val="000000"/>
          <w:sz w:val="22"/>
          <w:szCs w:val="22"/>
        </w:rPr>
        <w:t xml:space="preserve">Las siguientes referencias deben agregarse en la sección de bibliografía de cada capítulo indicado:</w:t>
      </w:r>
    </w:p>
    <w:p>
      <w:pPr>
        <w:spacing w:after="100"/>
        <w:ind w:left="200"/>
      </w:pPr>
      <w:r>
        <w:rPr>
          <w:rFonts w:ascii="Times New Roman" w:cs="Times New Roman" w:eastAsia="Times New Roman" w:hAnsi="Times New Roman"/>
          <w:color w:val="000000"/>
          <w:sz w:val="18"/>
          <w:szCs w:val="18"/>
        </w:rPr>
        <w:t xml:space="preserve">1. Antoniak, M., Field, A., Bishop, M., Sap, M., y Jurgens, D. (2023). Riveter: Measuring Power and Social Dynamics Between Entities. Proceedings of ACL 2023. → Caps. 2, 4</w:t>
      </w:r>
    </w:p>
    <w:p>
      <w:pPr>
        <w:spacing w:after="100"/>
        <w:ind w:left="200"/>
      </w:pPr>
      <w:r>
        <w:rPr>
          <w:rFonts w:ascii="Times New Roman" w:cs="Times New Roman" w:eastAsia="Times New Roman" w:hAnsi="Times New Roman"/>
          <w:color w:val="000000"/>
          <w:sz w:val="18"/>
          <w:szCs w:val="18"/>
        </w:rPr>
        <w:t xml:space="preserve">2. Barrett, L. F., Adolphs, R., Marsella, S., Martinez, A. M., y Pollak, S. D. (2019). Emotional Expressions Reconsidered: Challenges to Inferring Emotion From Human Facial Movements. Psychological Science in the Public Interest, 20(1), 1–68. → Caps. 2, 3, 4, 5, 6</w:t>
      </w:r>
    </w:p>
    <w:p>
      <w:pPr>
        <w:spacing w:after="100"/>
        <w:ind w:left="200"/>
      </w:pPr>
      <w:r>
        <w:rPr>
          <w:rFonts w:ascii="Times New Roman" w:cs="Times New Roman" w:eastAsia="Times New Roman" w:hAnsi="Times New Roman"/>
          <w:color w:val="000000"/>
          <w:sz w:val="18"/>
          <w:szCs w:val="18"/>
        </w:rPr>
        <w:t xml:space="preserve">3. Buolamwini, J., y Gebru, T. (2018). Gender Shades: Intersectional Accuracy Disparities in Commercial Gender Classification. Proceedings of Machine Learning Research, 81, 1–15. → Caps. 4, 6</w:t>
      </w:r>
    </w:p>
    <w:p>
      <w:pPr>
        <w:spacing w:after="100"/>
        <w:ind w:left="200"/>
      </w:pPr>
      <w:r>
        <w:rPr>
          <w:rFonts w:ascii="Times New Roman" w:cs="Times New Roman" w:eastAsia="Times New Roman" w:hAnsi="Times New Roman"/>
          <w:color w:val="000000"/>
          <w:sz w:val="18"/>
          <w:szCs w:val="18"/>
        </w:rPr>
        <w:t xml:space="preserve">4. Crivelli, C., y Fridlund, A. J. (2018). Facial Displays Are Tools for Social Influence. Trends in Cognitive Sciences, 22(5), 388–399. → Caps. 2, 3, 4, 5, 6</w:t>
      </w:r>
    </w:p>
    <w:p>
      <w:pPr>
        <w:spacing w:after="100"/>
        <w:ind w:left="200"/>
      </w:pPr>
      <w:r>
        <w:rPr>
          <w:rFonts w:ascii="Times New Roman" w:cs="Times New Roman" w:eastAsia="Times New Roman" w:hAnsi="Times New Roman"/>
          <w:color w:val="000000"/>
          <w:sz w:val="18"/>
          <w:szCs w:val="18"/>
        </w:rPr>
        <w:t xml:space="preserve">5. Mendelsohn, J., Tsvetkov, Y., y Jurafsky, D. (2020). A Framework for the Computational Linguistic Analysis of Dehumanization. Frontiers in Artificial Intelligence, 3, 55. → Caps. 2, 3</w:t>
      </w:r>
    </w:p>
    <w:p>
      <w:pPr>
        <w:spacing w:after="100"/>
        <w:ind w:left="200"/>
      </w:pPr>
      <w:r>
        <w:rPr>
          <w:rFonts w:ascii="Times New Roman" w:cs="Times New Roman" w:eastAsia="Times New Roman" w:hAnsi="Times New Roman"/>
          <w:color w:val="000000"/>
          <w:sz w:val="18"/>
          <w:szCs w:val="18"/>
        </w:rPr>
        <w:t xml:space="preserve">6. Reisenzein, R., Studtmann, M., y Horstmann, G. (2013). Coherence between Emotion and Facial Expression: Evidence from Laboratory Experiments. Emotion Review, 5(1), 16–23. → Caps. 2, 3, 4, 5, 6</w:t>
      </w:r>
    </w:p>
    <w:p>
      <w:pPr>
        <w:spacing w:after="100"/>
        <w:ind w:left="200"/>
      </w:pPr>
      <w:r>
        <w:rPr>
          <w:rFonts w:ascii="Times New Roman" w:cs="Times New Roman" w:eastAsia="Times New Roman" w:hAnsi="Times New Roman"/>
          <w:color w:val="000000"/>
          <w:sz w:val="18"/>
          <w:szCs w:val="18"/>
        </w:rPr>
        <w:t xml:space="preserve">7. Sap, M., Swayamdipta, S., Viswanathan, L., Zhou, X., Choi, Y., y Smith, N. A. (2017). Connotation Frames of Power and Agency in Modern Films. Proceedings of EMNLP 2017. → Caps. 2, 3</w:t>
      </w:r>
    </w:p>
    <w:p>
      <w:pPr>
        <w:spacing w:after="100"/>
        <w:ind w:left="200"/>
      </w:pPr>
      <w:r>
        <w:rPr>
          <w:rFonts w:ascii="Times New Roman" w:cs="Times New Roman" w:eastAsia="Times New Roman" w:hAnsi="Times New Roman"/>
          <w:color w:val="000000"/>
          <w:sz w:val="18"/>
          <w:szCs w:val="18"/>
        </w:rPr>
        <w:t xml:space="preserve">8. Sen, S., Singh, G., y Varshney, P. (2024). Deception detection using machine learning: A systematic review and transfer learning limitations from low-stakes to high-stakes. Expert Systems with Applications, 213, 119048. → Caps. 2, 4, 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2026-04-26T22:13:34.156Z</dcterms:created>
  <dcterms:modified xsi:type="dcterms:W3CDTF">2026-04-26T22:13:34.157Z</dcterms:modified>
</cp:coreProperties>
</file>

<file path=docProps/custom.xml><?xml version="1.0" encoding="utf-8"?>
<Properties xmlns="http://schemas.openxmlformats.org/officeDocument/2006/custom-properties" xmlns:vt="http://schemas.openxmlformats.org/officeDocument/2006/docPropsVTypes"/>
</file>