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i/>
          <w:iCs/>
          <w:color w:val="1F4E79"/>
          <w:sz w:val="22"/>
          <w:szCs w:val="22"/>
        </w:rPr>
        <w:t xml:space="preserve">Hermenéutica Forense Computacional (CFH)</w:t>
      </w:r>
    </w:p>
    <w:p>
      <w:pPr>
        <w:spacing w:after="80"/>
        <w:jc w:val="center"/>
      </w:pPr>
      <w:r>
        <w:rPr>
          <w:rFonts w:ascii="Arial" w:cs="Arial" w:eastAsia="Arial" w:hAnsi="Arial"/>
          <w:b/>
          <w:bCs/>
          <w:color w:val="1F4E79"/>
          <w:sz w:val="40"/>
          <w:szCs w:val="40"/>
        </w:rPr>
        <w:t xml:space="preserve">Registro de Decisiones Metodológicas</w:t>
      </w:r>
    </w:p>
    <w:p>
      <w:pPr>
        <w:spacing w:after="80"/>
        <w:jc w:val="center"/>
      </w:pPr>
      <w:r>
        <w:rPr>
          <w:rFonts w:ascii="Arial" w:cs="Arial" w:eastAsia="Arial" w:hAnsi="Arial"/>
          <w:i/>
          <w:iCs/>
          <w:sz w:val="24"/>
          <w:szCs w:val="24"/>
        </w:rPr>
        <w:t xml:space="preserve">Refinamiento del Índice de Congruencia Multimodal (ICM) hacia una medición tri-canal robusta</w:t>
      </w:r>
    </w:p>
    <w:p>
      <w:pPr>
        <w:spacing w:after="360"/>
        <w:jc w:val="center"/>
      </w:pPr>
      <w:r>
        <w:rPr>
          <w:rFonts w:ascii="Arial" w:cs="Arial" w:eastAsia="Arial" w:hAnsi="Arial"/>
          <w:color w:val="666666"/>
          <w:sz w:val="20"/>
          <w:szCs w:val="20"/>
        </w:rPr>
        <w:t xml:space="preserve">Capa 3 multimodal · Corpus C · Macrocaso 003 JEP</w:t>
      </w:r>
    </w:p>
    <w:p>
      <w:pPr>
        <w:spacing w:after="120" w:before="0" w:line="276"/>
        <w:jc w:val="both"/>
      </w:pPr>
      <w:r>
        <w:rPr>
          <w:rFonts w:ascii="Arial" w:cs="Arial" w:eastAsia="Arial" w:hAnsi="Arial"/>
          <w:b/>
          <w:bCs/>
          <w:sz w:val="21"/>
          <w:szCs w:val="21"/>
        </w:rPr>
        <w:t xml:space="preserve">Propósito de este documento. </w:t>
      </w:r>
      <w:r>
        <w:rPr>
          <w:rFonts w:ascii="Arial" w:cs="Arial" w:eastAsia="Arial" w:hAnsi="Arial"/>
          <w:sz w:val="21"/>
          <w:szCs w:val="21"/>
        </w:rPr>
        <w:t xml:space="preserve">Este registro documenta las decisiones metodológicas adoptadas en la consolidación de la Capa 3 multimodal del framework CFH. Cada decisión se presenta como un refinamiento deliberado orientado a fortalecer la validez y la robustez de la medición multimodal, con su fundamento teórico-empírico, las alternativas evaluadas y la trazabilidad de los artefactos que la respaldan. El objetivo es garantizar la reproducibilidad y la transparencia metodológica del Índice de Congruencia Multimodal (ICM) ante la evaluación académica.</w:t>
      </w:r>
    </w:p>
    <w:p>
      <w:pPr>
        <w:spacing w:after="120" w:before="0" w:line="276"/>
        <w:jc w:val="both"/>
      </w:pPr>
      <w:r>
        <w:rPr>
          <w:rFonts w:ascii="Arial" w:cs="Arial" w:eastAsia="Arial" w:hAnsi="Arial"/>
          <w:b/>
          <w:bCs/>
          <w:sz w:val="21"/>
          <w:szCs w:val="21"/>
        </w:rPr>
        <w:t xml:space="preserve">Principio rector. </w:t>
      </w:r>
      <w:r>
        <w:rPr>
          <w:rFonts w:ascii="Arial" w:cs="Arial" w:eastAsia="Arial" w:hAnsi="Arial"/>
          <w:sz w:val="21"/>
          <w:szCs w:val="21"/>
        </w:rPr>
        <w:t xml:space="preserve">La construcción del ICM siguió un enfoque </w:t>
      </w:r>
      <w:r>
        <w:rPr>
          <w:rFonts w:ascii="Arial" w:cs="Arial" w:eastAsia="Arial" w:hAnsi="Arial"/>
          <w:i/>
          <w:iCs/>
          <w:sz w:val="21"/>
          <w:szCs w:val="21"/>
        </w:rPr>
        <w:t xml:space="preserve">purista</w:t>
      </w:r>
      <w:r>
        <w:rPr>
          <w:rFonts w:ascii="Arial" w:cs="Arial" w:eastAsia="Arial" w:hAnsi="Arial"/>
          <w:sz w:val="21"/>
          <w:szCs w:val="21"/>
        </w:rPr>
        <w:t xml:space="preserve">: cada canal se normaliza según su propia naturaleza de medición, sin promediar sobre poblaciones heterogéneas y sin depender de percentiles de la muestra. La atribución multimodal se ancla en la marcación temporal verificada de cada intervención del compareciente. Estas decisiones buscan que el índice sea metodológicamente defendible, reproducible y estable ante variaciones razonables de sus parámetros.</w:t>
      </w:r>
    </w:p>
    <w:p>
      <w:pPr>
        <w:pStyle w:val="Heading1"/>
        <w:spacing w:after="160" w:before="320"/>
      </w:pPr>
      <w:r>
        <w:rPr>
          <w:rFonts w:ascii="Arial" w:cs="Arial" w:eastAsia="Arial" w:hAnsi="Arial"/>
          <w:b/>
          <w:bCs/>
          <w:color w:val="1F4E79"/>
          <w:sz w:val="30"/>
          <w:szCs w:val="30"/>
        </w:rPr>
        <w:t xml:space="preserve">1. Síntesis de las decisiones</w:t>
      </w:r>
    </w:p>
    <w:p>
      <w:pPr>
        <w:spacing w:after="120" w:before="0" w:line="276"/>
        <w:jc w:val="both"/>
      </w:pPr>
      <w:r>
        <w:rPr>
          <w:rFonts w:ascii="Arial" w:cs="Arial" w:eastAsia="Arial" w:hAnsi="Arial"/>
          <w:sz w:val="21"/>
          <w:szCs w:val="21"/>
        </w:rPr>
        <w:t xml:space="preserve">La siguiente tabla resume las decisiones metodológicas finales que definen la versión consolidada del ICM tri-canal. Cada una se detalla en las secciones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rPr>
          <w:tblHeader/>
        </w:trPr>
        <w:tc>
          <w:tcPr>
            <w:tcW w:type="dxa" w:w="5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line="264"/>
              <w:jc w:val="center"/>
            </w:pPr>
            <w:r>
              <w:rPr>
                <w:rFonts w:ascii="Arial" w:cs="Arial" w:eastAsia="Arial" w:hAnsi="Arial"/>
                <w:b/>
                <w:bCs/>
                <w:color w:val="FFFFFF"/>
                <w:sz w:val="19"/>
                <w:szCs w:val="19"/>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line="264"/>
              <w:jc w:val="left"/>
            </w:pPr>
            <w:r>
              <w:rPr>
                <w:rFonts w:ascii="Arial" w:cs="Arial" w:eastAsia="Arial" w:hAnsi="Arial"/>
                <w:b/>
                <w:bCs/>
                <w:color w:val="FFFFFF"/>
                <w:sz w:val="19"/>
                <w:szCs w:val="19"/>
              </w:rPr>
              <w:t xml:space="preserve">Componente</w:t>
            </w:r>
          </w:p>
        </w:tc>
        <w:tc>
          <w:tcPr>
            <w:tcW w:type="dxa" w:w="6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line="264"/>
              <w:jc w:val="left"/>
            </w:pPr>
            <w:r>
              <w:rPr>
                <w:rFonts w:ascii="Arial" w:cs="Arial" w:eastAsia="Arial" w:hAnsi="Arial"/>
                <w:b/>
                <w:bCs/>
                <w:color w:val="FFFFFF"/>
                <w:sz w:val="19"/>
                <w:szCs w:val="19"/>
              </w:rPr>
              <w:t xml:space="preserve">Decisión final orientada a robustez</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Unidad de análisis</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ICM a nivel individual del compareciente (no promediado por subcaso)</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2</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Atribución multimodal</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Anclaje en marcación temporal verificada de la intervención</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3</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facial — homogeneidad</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MediaPipe FaceLandmarker en los 5 subcasos; escala 0–1 homogénea</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4</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facial — composición distress</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AU1+AU4+AU15+AU17 (expresión prototípica de tristeza, Ekman)</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5</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facial — normalización</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Z-score sobre el corpus (comparativo), μ y σ congeladas</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6</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vocal — features</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Shimmer + variabilidad de F0 + HNR (3 de 88 eGeMAPS)</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7</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vocal — normalización</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Escala fija con anclas de literatura (independiente de la muestra)</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8</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vocal — silencio</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Conservación de pausas/silencio como parte del acto de reconocimiento</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9</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Canal verbal — REP</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Proporción del discurso reparador (neutraliza duración de intervención)</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10</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Pesos tri-canal</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0.40 facial / 0.40 vocal / 0.20 verbal, validados por sensibilidad</w:t>
            </w:r>
          </w:p>
        </w:tc>
      </w:tr>
      <w:tr>
        <w:trPr>
          <w:tblHeader w:val="false"/>
        </w:trPr>
        <w:tc>
          <w:tcPr>
            <w:tcW w:type="dxa" w:w="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center"/>
            </w:pPr>
            <w:r>
              <w:rPr>
                <w:rFonts w:ascii="Arial" w:cs="Arial" w:eastAsia="Arial" w:hAnsi="Arial"/>
                <w:b/>
                <w:bCs/>
                <w:sz w:val="19"/>
                <w:szCs w:val="19"/>
              </w:rPr>
              <w:t xml:space="preserve">11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Robustez de pesos</w:t>
            </w:r>
          </w:p>
        </w:tc>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b w:val="false"/>
                <w:bCs w:val="false"/>
                <w:sz w:val="19"/>
                <w:szCs w:val="19"/>
              </w:rPr>
              <w:t xml:space="preserve">Monte Carlo en dos modos (local 97.7%; global revela canal informativo)</w:t>
            </w:r>
          </w:p>
        </w:tc>
      </w:tr>
    </w:tbl>
    <w:p>
      <w:pPr>
        <w:pStyle w:val="Heading1"/>
        <w:spacing w:after="160" w:before="320"/>
      </w:pPr>
      <w:r>
        <w:rPr>
          <w:rFonts w:ascii="Arial" w:cs="Arial" w:eastAsia="Arial" w:hAnsi="Arial"/>
          <w:b/>
          <w:bCs/>
          <w:color w:val="1F4E79"/>
          <w:sz w:val="30"/>
          <w:szCs w:val="30"/>
        </w:rPr>
        <w:t xml:space="preserve">2. Decisiones detalladas</w:t>
      </w:r>
    </w:p>
    <w:p>
      <w:pPr>
        <w:pStyle w:val="Heading2"/>
        <w:spacing w:after="140" w:before="260"/>
      </w:pPr>
      <w:r>
        <w:rPr>
          <w:rFonts w:ascii="Arial" w:cs="Arial" w:eastAsia="Arial" w:hAnsi="Arial"/>
          <w:b/>
          <w:bCs/>
          <w:color w:val="1F4E79"/>
          <w:sz w:val="25"/>
          <w:szCs w:val="25"/>
        </w:rPr>
        <w:t xml:space="preserve">2.1 Unidad de análisis: nivel individual del compareciente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El ICM se calcula para cada compareciente individualmente, no como promedio por subcaso.</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Cada uno de los 47 comparecientes con cobertura suficiente recibe un ICM tri-canal propio, calculado sobre sus segmentos faciales, vocales y verbales atribuidos individualmente.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Versión preliminar que promediaba los canales sobre el subcaso completo (poblaciones mixtas de comparecientes, magistrados y víctimas).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Promediar señales multimodales sobre una población heterogénea mezcla hablantes con roles distintos y diluye la atribución individual, comprometiendo la validez de la medición. El nivel individual es la unidad metodológicamente correcta para una medida de congruencia comunicativa, que es por definición un atributo del hablante.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reconstrucción a nivel individual produce 47 perfiles diferenciados que revelan variación intra-subcaso antes invisible (p. ej., en Huila el ICM individual varía de 0.243 a 0.579).</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Coherente con la naturaleza del acto testimonial como fenómeno individual (Fricker, 2007) y con las salvaguardas sobre interpretación a nivel de hablante (Barrett et al., 2019).</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cfh_icm_tricanal_final.py · outputs/capa3/icm_tricanal_final.csv · commit 92cad00 (rama main).</w:t>
            </w:r>
          </w:p>
        </w:tc>
      </w:tr>
    </w:tbl>
    <w:p>
      <w:pPr>
        <w:spacing w:after="120"/>
      </w:pPr>
    </w:p>
    <w:p>
      <w:pPr>
        <w:pStyle w:val="Heading2"/>
        <w:spacing w:after="140" w:before="260"/>
      </w:pPr>
      <w:r>
        <w:rPr>
          <w:rFonts w:ascii="Arial" w:cs="Arial" w:eastAsia="Arial" w:hAnsi="Arial"/>
          <w:b/>
          <w:bCs/>
          <w:color w:val="1F4E79"/>
          <w:sz w:val="25"/>
          <w:szCs w:val="25"/>
        </w:rPr>
        <w:t xml:space="preserve">2.2 Atribución multimodal por marcación temporal verificada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La asignación de segmentos faciales, vocales y verbales a cada compareciente se ancla en la marcación temporal manual de los letreros de identificación de la JEP, no en el identificador automático de hablante (speaker).</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Inventarios de marcación temporal por subcaso (tramos de inicio/fin de cada intervención identificada), usados para filtrar los frames y ventanas de cada compareciente.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Atribución por etiqueta de diarización automática (SPEAKER_xx), sujeta a errores de asignación y fusión de hablantes.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marcación temporal verificada contra la señal visual del letrero JEP en pantalla proporciona una atribución de identidad auditable y reproducible, independiente de la calidad de la diarización automática. Es la fuente de verdad más confiable disponible.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Inventarios completos para los 5 subcasos con tramos verificados manualmente.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Procedimiento de verificación de identidad multimodal (Guía Metodológica de Muestreo Multimodal, Zuluaga, 2026).</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data/marcacion/inventario_*.csv (5 subcasos) · commit 92cad00.</w:t>
            </w:r>
          </w:p>
        </w:tc>
      </w:tr>
    </w:tbl>
    <w:p>
      <w:pPr>
        <w:spacing w:after="120"/>
      </w:pPr>
    </w:p>
    <w:p>
      <w:pPr>
        <w:pStyle w:val="Heading2"/>
        <w:spacing w:after="140" w:before="260"/>
      </w:pPr>
      <w:r>
        <w:rPr>
          <w:rFonts w:ascii="Arial" w:cs="Arial" w:eastAsia="Arial" w:hAnsi="Arial"/>
          <w:b/>
          <w:bCs/>
          <w:color w:val="1F4E79"/>
          <w:sz w:val="25"/>
          <w:szCs w:val="25"/>
        </w:rPr>
        <w:t xml:space="preserve">2.3 Canal facial: homogeneidad del extractor en los cinco subcasos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Todos los subcasos usan MediaPipe FaceLandmarker con valores de blendshape en escala 0–1; el canal facial es homogéneo en todo el Corpus C.</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Reextracción de Action Units de los 5 subcasos con un único pipeline MediaPipe (calcular_aus_v3_multi.py), garantizando una escala común.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Versiones previas en las que la nomenclatura de algunos scripts sugería el uso de OpenFace para ciertos subcasos.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homogeneidad del extractor es condición necesaria para comparar el canal facial entre comparecientes y subcasos. Se verificó que la totalidad de los datos provienen de MediaPipe (escala 0–1); las referencias a otra nomenclatura en versiones previas de scripts correspondían únicamente a etiquetas internas, no a los datos. La unificación del pipeline elimina toda ambigüedad y asegura comparabilidad.</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Mapeo confirmado de blendshapes a AUs: AU1=browInnerUp; AU4=(browDownLeft+browDownRight)/2; AU12=(mouthSmileLeft+mouthSmileRight)/2; AU15=(mouthFrownLeft+mouthFrownRight)/2; AU17=mouthPucker. Reextracción de Costa Caribe con 5.396 frames bajo el pipeline homogéneo.</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MediaPipe FaceLandmarker (Lugaresi et al., 2023).</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calcular_aus_v3_multi.py · outputs/capa3/aus_*_v3.csv (5 subcasos) · commit 92cad00.</w:t>
            </w:r>
          </w:p>
        </w:tc>
      </w:tr>
    </w:tbl>
    <w:p>
      <w:pPr>
        <w:spacing w:after="120"/>
      </w:pPr>
    </w:p>
    <w:p>
      <w:pPr>
        <w:pStyle w:val="Heading2"/>
        <w:spacing w:after="140" w:before="260"/>
      </w:pPr>
      <w:r>
        <w:rPr>
          <w:rFonts w:ascii="Arial" w:cs="Arial" w:eastAsia="Arial" w:hAnsi="Arial"/>
          <w:b/>
          <w:bCs/>
          <w:color w:val="1F4E79"/>
          <w:sz w:val="25"/>
          <w:szCs w:val="25"/>
        </w:rPr>
        <w:t xml:space="preserve">2.4 Canal facial: composición del distress con cuatro Action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El distress facial se opera con las cuatro Action Units de la expresión prototípica de tristeza: AU1, AU4, AU15 y AU17.</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El componente de distress promedia AU1 (ceja interna elevada), AU4 (ceño), AU15 (comisuras hacia abajo) y AU17 (mentón).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Reducir el distress únicamente a AU4 (el contribuyente dominante), o a tres AUs.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Se conservan las cuatro AUs de la configuración prototípica de tristeza descrita por Ekman, manteniendo la fidelidad al marco teórico facial. El análisis de contribución por AU respalda la decisión y aporta un hallazgo metodológico de interés sobre el comportamiento de las AUs bucales durante el habla.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Análisis sobre 51.220 frames: AU4 es el contribuyente dominante (52% del distress; r=0.524), seguido de AU1 (24%) y AU17 (23%; r=0.691); AU15 aporta marginalmente (2%). Hallazgo adicional: las AUs de la región bucal (AU15, AU17) muestran supresión sistemática durante el habla —AU17 desciende ~80% en frames de habla activa—, mientras AU4 (independiente del aparato fonador) es el indicador más estable en contextos de habla continua.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Ekman, Friesen y Hager (2002), FACS; Barrett et al. (2019) sobre la medición comparativa de configuraciones faciales.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cfh_diag_aus_distress.py · referencia_AUs_distress_corpus.csv · referencia_AUs_distress_resumen.txt · commit 92cad00.</w:t>
            </w:r>
          </w:p>
        </w:tc>
      </w:tr>
    </w:tbl>
    <w:p>
      <w:pPr>
        <w:spacing w:after="120"/>
      </w:pPr>
    </w:p>
    <w:p>
      <w:pPr>
        <w:pStyle w:val="Heading2"/>
        <w:spacing w:after="140" w:before="260"/>
      </w:pPr>
      <w:r>
        <w:rPr>
          <w:rFonts w:ascii="Arial" w:cs="Arial" w:eastAsia="Arial" w:hAnsi="Arial"/>
          <w:b/>
          <w:bCs/>
          <w:color w:val="1F4E79"/>
          <w:sz w:val="25"/>
          <w:szCs w:val="25"/>
        </w:rPr>
        <w:t xml:space="preserve">2.5 Canal facial: normalización z-score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El canal facial se normaliza mediante z-score sobre la distribución del corpus, con media y desviación estándar congeladas como constantes de calibración.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z = (distress − μ)/σ con μ=0.1024 y σ=0.0369; mapeo a [0,1] mediante recorte de (z+3)/6. Las constantes se fijan y no se recalculan al incorporar nuevos comparecientes.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Se evaluaron cinco estrategias de escala (cruda, min-max, z-score, percentil, techo/piso) sobre 47 comparecientes.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literatura sostiene que la intensidad absoluta de las AUs no es directamente interpretable y que la expresión facial se evalúa de forma comparativa. El z-score es la estrategia coherente con esa naturaleza: preserva el poder discriminativo del canal en todo el rango sin saturar artificialmente a ningún compareciente. Congelar μ y σ garantiza una calibración fija y reproducible.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El z-score fue la única estrategia que no satura a ningún compareciente y mantiene capacidad discriminativa (desv. de la distribución resultante 0.167). La calibración es estable: la incorporación de un subcaso adicional desplaza los valores de forma despreciable (p. ej., Torres 0.340→0.341).</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Barrett et al. (2019); Sen et al. (2024) sobre límites de transferibilidad entre contextos.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cfh_exp_escala_facial.py · cfh_icm_tricanal_final.py (constantes FACIAL_MU, FACIAL_SIGMA) · commit 92cad00.</w:t>
            </w:r>
          </w:p>
        </w:tc>
      </w:tr>
    </w:tbl>
    <w:p>
      <w:pPr>
        <w:spacing w:after="120"/>
      </w:pPr>
    </w:p>
    <w:p>
      <w:pPr>
        <w:pStyle w:val="Heading2"/>
        <w:spacing w:after="140" w:before="260"/>
      </w:pPr>
      <w:r>
        <w:rPr>
          <w:rFonts w:ascii="Arial" w:cs="Arial" w:eastAsia="Arial" w:hAnsi="Arial"/>
          <w:b/>
          <w:bCs/>
          <w:color w:val="1F4E79"/>
          <w:sz w:val="25"/>
          <w:szCs w:val="25"/>
        </w:rPr>
        <w:t xml:space="preserve">2.6 Canal vocal: selección de tres descriptores prosódicos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El canal vocal se opera con tres de los 88 descriptores eGeMAPS: shimmer, variabilidad normalizada de F0 y HNR (invertido).</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ICM vocal = combinación de shimmerLocaldB (nivel de quiebre vocal), F0semitone stddevNorm (variabilidad tonal) y HNRdBACF invertido (calidad vocal asociada a carga emocional).</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Inclusión de jitter (descartado) y uso de los 88 descriptores indistintamente.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Se seleccionan los descriptores con fundamento teórico directo en la prosodia del distress y la carga emocional, evitando descriptores cuya interpretación es inconsistente en la literatura. Jitter se excluye por inconsistencia documentada. La parsimonia del conjunto fortalece la interpretabilidad del canal.</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Marcadores consistentes en los 5 subcasos (shimmer ~1.0–1.4 dB; F0_std ~0.06–0.08; HNR ~4.7–6.7).</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eGeMAPS (Eyben et al., 2016); literatura sobre shimmer y HNR como correlatos de carga emocional vocal.</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calcular_egemaps_v3_multi.py · outputs/capa3/egemap_*_compareciente.csv · commit 92cad00.</w:t>
            </w:r>
          </w:p>
        </w:tc>
      </w:tr>
    </w:tbl>
    <w:p>
      <w:pPr>
        <w:spacing w:after="120"/>
      </w:pPr>
    </w:p>
    <w:p>
      <w:pPr>
        <w:pStyle w:val="Heading2"/>
        <w:spacing w:after="140" w:before="260"/>
      </w:pPr>
      <w:r>
        <w:rPr>
          <w:rFonts w:ascii="Arial" w:cs="Arial" w:eastAsia="Arial" w:hAnsi="Arial"/>
          <w:b/>
          <w:bCs/>
          <w:color w:val="1F4E79"/>
          <w:sz w:val="25"/>
          <w:szCs w:val="25"/>
        </w:rPr>
        <w:t xml:space="preserve">2.7 Canal vocal: normalización por escala fija de literatura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El canal vocal se normaliza con una escala fija anclada en valores de referencia de la literatura (piso fisiológico y techo documentado), no en percentiles de la muestra.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Anclas: shimmer (0.5–1.8 dB), F0_stddev (0.0–0.20), HNR (2.0–11.0, invertido). Independiente de la composición de la muestra.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Normalización por percentiles del propio corpus (descartada por hacer el índice dependiente de la muestra).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Una escala anclada en referentes fisiológicos y de literatura produce valores absolutos comparables y reproducibles, que no cambian si se añaden o quitan comparecientes. Esto es coherente con el principio purista: el canal vocal, a diferencia del facial, admite anclas absolutas porque sus descriptores tienen rangos fisiológicos documentados.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escala discrimina entre comparecientes sin saturar en los 5 subcasos.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Rangos de referencia eGeMAPS (Eyben et al., 2016) y literatura prosódica asociada.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calcular_egemaps_v3_multi.py (anclas de escala) · commit 92cad00.</w:t>
            </w:r>
          </w:p>
        </w:tc>
      </w:tr>
    </w:tbl>
    <w:p>
      <w:pPr>
        <w:spacing w:after="120"/>
      </w:pPr>
    </w:p>
    <w:p>
      <w:pPr>
        <w:pStyle w:val="Heading2"/>
        <w:spacing w:after="140" w:before="260"/>
      </w:pPr>
      <w:r>
        <w:rPr>
          <w:rFonts w:ascii="Arial" w:cs="Arial" w:eastAsia="Arial" w:hAnsi="Arial"/>
          <w:b/>
          <w:bCs/>
          <w:color w:val="1F4E79"/>
          <w:sz w:val="25"/>
          <w:szCs w:val="25"/>
        </w:rPr>
        <w:t xml:space="preserve">2.8 Canal vocal: conservación del silencio como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Las ventanas de silencio y pausa del compareciente se conservan en el análisis, no se filtran.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Las ventanas con energía vocal nula se mantienen en el cómputo del canal vocal.</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Filtrar las ventanas de silencio por considerarlas ausencia de señal.</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En el contexto de las audiencias de reconocimiento, el silencio y la pausa no son ausencia de información: forman parte constitutiva del acto de reconocimiento. La pausa, el quiebre y el silencio son marcadores prosódicos reconocidos del acto de disculpa y del reconocimiento genuino.</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Verificación diagnóstica de que las ventanas de shimmer nulo corresponden a silencio puro (energía ~12× menor, sin segmentos sonoros), no a ruido o error de extracción.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Zehr (2002) sobre la dimensión no estrictamente verbal del reconocimiento; Baird y Coutinho (2019) sobre marcadores prosódicos de la disculpa sincera.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cfh_diag_silencio.py · decisión documentada en calcular_egemaps_v3_multi.py · commit 92cad00.</w:t>
            </w:r>
          </w:p>
        </w:tc>
      </w:tr>
    </w:tbl>
    <w:p>
      <w:pPr>
        <w:spacing w:after="120"/>
      </w:pPr>
    </w:p>
    <w:p>
      <w:pPr>
        <w:pStyle w:val="Heading2"/>
        <w:spacing w:after="140" w:before="260"/>
      </w:pPr>
      <w:r>
        <w:rPr>
          <w:rFonts w:ascii="Arial" w:cs="Arial" w:eastAsia="Arial" w:hAnsi="Arial"/>
          <w:b/>
          <w:bCs/>
          <w:color w:val="1F4E79"/>
          <w:sz w:val="25"/>
          <w:szCs w:val="25"/>
        </w:rPr>
        <w:t xml:space="preserve">2.9 Canal verbal: REP como proporción del discurso reparador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El indicador verbal (REP, y₁₀) se opera como la proporción del discurso con contenido reparador, no como conteo absoluto de instancias.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REP = suma de pesos de las oraciones reparadoras / total de oraciones; cada oración aporta el peso de su mecanismo reparador más fuerte (reconocimiento de responsabilidad, restitución de identidad, lenguaje DIH reparador, compromiso de reparación).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Fórmula previa basada en peso total dividido por número de oraciones, que dependía de la longitud de la intervención.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duración de cada intervención está determinada por el tiempo que la JEP asigna institucionalmente, no por el compareciente. Medir la proporción del discurso que es reparador —y no la cantidad absoluta— aísla la disposición reparadora del hablante del factor exógeno de la duración. Esto fortalece la validez del canal verbal como medida de reconocimiento.</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La reformulación neutraliza el efecto de longitud: intervenciones extensas con alta densidad reparadora dejan de quedar penalizadas frente a intervenciones muy breves.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Fundamentación de los mecanismos reparadores en Fraser (1995) sobre reconocimiento y Austin (1962) sobre actos de habla.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code/src/features/y10_rep_extractor.py · cfh_diag_rep.py · commit 92cad00.</w:t>
            </w:r>
          </w:p>
        </w:tc>
      </w:tr>
    </w:tbl>
    <w:p>
      <w:pPr>
        <w:spacing w:after="120"/>
      </w:pPr>
    </w:p>
    <w:p>
      <w:pPr>
        <w:pStyle w:val="Heading2"/>
        <w:spacing w:after="140" w:before="260"/>
      </w:pPr>
      <w:r>
        <w:rPr>
          <w:rFonts w:ascii="Arial" w:cs="Arial" w:eastAsia="Arial" w:hAnsi="Arial"/>
          <w:b/>
          <w:bCs/>
          <w:color w:val="1F4E79"/>
          <w:sz w:val="25"/>
          <w:szCs w:val="25"/>
        </w:rPr>
        <w:t xml:space="preserve">2.10 Pesos del ICM tri-canal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Se mantienen los pesos 0.40 facial / 0.40 vocal / 0.20 verbal, validados como región estable mediante análisis de sensibilidad.</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ICM = 0.40·facial + 0.40·vocal + 0.20·verbal, con renormalización cuando un canal no tiene cobertura suficiente.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Esquemas de pesos iguales (1/3 cada uno), verbal dominante, facial dominante y otros, evaluados sistemáticamente.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Los pesos reflejan una justificación de tres niveles: (i) teórica —los canales no verbales son más difíciles de controlar conscientemente (Zehr, 2002)—; (ii) empírica local —el ranking es robusto a variaciones razonables de pesos—; (iii) empírica global —el canal facial es el más informativo, lo que justifica su peso, mientras que el verbal, por ser un proxy indirecto ya capturado en los índices DIS e IEI, justifica su peso menor.</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Ver decisión 2.11 (análisis de sensibilidad).</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Zehr (2002).</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cfh_icm_tricanal_final.py (W_FACIAL, W_VOCAL, W_VERBAL) · commit 92cad00.</w:t>
            </w:r>
          </w:p>
        </w:tc>
      </w:tr>
    </w:tbl>
    <w:p>
      <w:pPr>
        <w:spacing w:after="120"/>
      </w:pPr>
    </w:p>
    <w:p>
      <w:pPr>
        <w:pStyle w:val="Heading2"/>
        <w:spacing w:after="140" w:before="260"/>
      </w:pPr>
      <w:r>
        <w:rPr>
          <w:rFonts w:ascii="Arial" w:cs="Arial" w:eastAsia="Arial" w:hAnsi="Arial"/>
          <w:b/>
          <w:bCs/>
          <w:color w:val="1F4E79"/>
          <w:sz w:val="25"/>
          <w:szCs w:val="25"/>
        </w:rPr>
        <w:t xml:space="preserve">2.11 Validación de robustez de los pesos por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Decisión final</w:t>
            </w:r>
          </w:p>
        </w:tc>
        <w:tc>
          <w:tcPr>
            <w:tcW w:type="dxa" w:w="7160"/>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tcPr>
          <w:p>
            <w:pPr>
              <w:spacing w:line="264"/>
              <w:jc w:val="left"/>
            </w:pPr>
            <w:r>
              <w:rPr>
                <w:rFonts w:ascii="Arial" w:cs="Arial" w:eastAsia="Arial" w:hAnsi="Arial"/>
                <w:sz w:val="19"/>
                <w:szCs w:val="19"/>
              </w:rPr>
              <w:t xml:space="preserve">La robustez del ordenamiento de comparecientes ante la elección de pesos se evalúa mediante simulación Monte Carlo en dos modos complementarios, con Kendall τ y umbral τ≥0.80.</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Qué se implementó</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Modo restringido (perturbación local de ±0.10 alrededor de la referencia) y modo completo (exploración del simplex de pesos), 5.000 simulaciones cada uno.</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Alternativas consideradas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Reportar un único modo de simulación.</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Fundamento metodológico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Reportar ambos modos ofrece una caracterización completa y honesta de la robustez: el modo restringido demuestra estabilidad ante variaciones metodológicamente plausibles; el modo completo revela la importancia relativa de cada canal. Es coherente con el método de sensibilidad ya empleado en la tesis para el DIS Score.</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Evidencia / diagnóstico</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Modo restringido: 97.7% de las simulaciones mantiene τ≥0.80 (τ medio 0.908), superando la robustez de la versión preliminar. Modo completo: la concordancia desciende y revela que el canal facial es el más informativo —su eliminación reordena el ranking (τ=0.233), mientras los esquemas que lo conservan con peso sustancial permanecen robustos (τ&gt;0.85).</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Literatura de soporte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line="264"/>
              <w:jc w:val="left"/>
            </w:pPr>
            <w:r>
              <w:rPr>
                <w:rFonts w:ascii="Arial" w:cs="Arial" w:eastAsia="Arial" w:hAnsi="Arial"/>
                <w:sz w:val="19"/>
                <w:szCs w:val="19"/>
              </w:rPr>
              <w:t xml:space="preserve">Método de sensibilidad de pesos coherente con el aplicado al DIS Score (171 combinaciones).</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line="264"/>
              <w:jc w:val="left"/>
            </w:pPr>
            <w:r>
              <w:rPr>
                <w:rFonts w:ascii="Arial" w:cs="Arial" w:eastAsia="Arial" w:hAnsi="Arial"/>
                <w:b/>
                <w:bCs/>
                <w:color w:val="1F4E79"/>
                <w:sz w:val="19"/>
                <w:szCs w:val="19"/>
              </w:rPr>
              <w:t xml:space="preserve">Trazabilidad (archivos / commit)</w:t>
            </w:r>
          </w:p>
        </w:tc>
        <w:tc>
          <w:tcPr>
            <w:tcW w:type="dxa" w:w="71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line="264"/>
              <w:jc w:val="left"/>
            </w:pPr>
            <w:r>
              <w:rPr>
                <w:rFonts w:ascii="Arial" w:cs="Arial" w:eastAsia="Arial" w:hAnsi="Arial"/>
                <w:sz w:val="19"/>
                <w:szCs w:val="19"/>
              </w:rPr>
              <w:t xml:space="preserve">cfh_sensibilidad_pesos.py · sensibilidad_pesos_restringido.csv · sensibilidad_pesos_completo.csv · commit 92cad00.</w:t>
            </w:r>
          </w:p>
        </w:tc>
      </w:tr>
    </w:tbl>
    <w:p>
      <w:pPr>
        <w:spacing w:after="120"/>
      </w:pPr>
    </w:p>
    <w:p>
      <w:pPr>
        <w:pStyle w:val="Heading1"/>
        <w:spacing w:after="160" w:before="320"/>
      </w:pPr>
      <w:r>
        <w:rPr>
          <w:rFonts w:ascii="Arial" w:cs="Arial" w:eastAsia="Arial" w:hAnsi="Arial"/>
          <w:b/>
          <w:bCs/>
          <w:color w:val="1F4E79"/>
          <w:sz w:val="30"/>
          <w:szCs w:val="30"/>
        </w:rPr>
        <w:t xml:space="preserve">3. Estado de consolidación</w:t>
      </w:r>
    </w:p>
    <w:p>
      <w:pPr>
        <w:spacing w:after="120" w:before="0" w:line="276"/>
        <w:jc w:val="both"/>
      </w:pPr>
      <w:r>
        <w:rPr>
          <w:rFonts w:ascii="Arial" w:cs="Arial" w:eastAsia="Arial" w:hAnsi="Arial"/>
          <w:b/>
          <w:bCs/>
          <w:sz w:val="21"/>
          <w:szCs w:val="21"/>
        </w:rPr>
        <w:t xml:space="preserve">Versión consolidada del ICM. </w:t>
      </w:r>
      <w:r>
        <w:rPr>
          <w:rFonts w:ascii="Arial" w:cs="Arial" w:eastAsia="Arial" w:hAnsi="Arial"/>
          <w:sz w:val="21"/>
          <w:szCs w:val="21"/>
        </w:rPr>
        <w:t xml:space="preserve">Con las once decisiones documentadas, el Índice de Congruencia Multimodal queda definido como una medida tri-canal a nivel individual del compareciente, con cada canal normalizado según su propia naturaleza de medición (facial comparativo por z-score; vocal absoluto por escala de literatura; verbal como proporción del discurso reparador), atribución anclada en marcación temporal verificada, y pesos validados por análisis de sensibilidad. El conjunto de decisiones persigue un único objetivo: una medición multimodal reproducible, estable y metodológicamente defendible.</w:t>
      </w:r>
    </w:p>
    <w:p>
      <w:pPr>
        <w:spacing w:after="120" w:before="0" w:line="276"/>
        <w:jc w:val="both"/>
      </w:pPr>
      <w:r>
        <w:rPr>
          <w:rFonts w:ascii="Arial" w:cs="Arial" w:eastAsia="Arial" w:hAnsi="Arial"/>
          <w:b/>
          <w:bCs/>
          <w:sz w:val="21"/>
          <w:szCs w:val="21"/>
        </w:rPr>
        <w:t xml:space="preserve">Reproducibilidad. </w:t>
      </w:r>
      <w:r>
        <w:rPr>
          <w:rFonts w:ascii="Arial" w:cs="Arial" w:eastAsia="Arial" w:hAnsi="Arial"/>
          <w:sz w:val="21"/>
          <w:szCs w:val="21"/>
        </w:rPr>
        <w:t xml:space="preserve">La totalidad de los scripts, datos intermedios y resultados que respaldan estas decisiones está versionada en el repositorio del proyecto (commit 92cad00, rama main), lo que permite reproducir el ICM completo a partir de los inventarios de marcación y los videos de las audiencias.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2026-06-28T22:11:19.599Z</dcterms:created>
  <dcterms:modified xsi:type="dcterms:W3CDTF">2026-06-28T22:11:19.599Z</dcterms:modified>
</cp:coreProperties>
</file>

<file path=docProps/custom.xml><?xml version="1.0" encoding="utf-8"?>
<Properties xmlns="http://schemas.openxmlformats.org/officeDocument/2006/custom-properties" xmlns:vt="http://schemas.openxmlformats.org/officeDocument/2006/docPropsVTypes"/>
</file>