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line="360" w:lineRule="auto"/>
        <w:jc w:val="both"/>
      </w:pPr>
      <w:r>
        <w:rPr>
          <w:rFonts w:ascii="Times New Roman" w:cs="Times New Roman" w:eastAsia="Times New Roman" w:hAnsi="Times New Roman"/>
          <w:i/>
          <w:sz w:val="24"/>
          <w:szCs w:val="24"/>
        </w:rPr>
        <w:t xml:space="preserve">Ekman, P., Friesen, W. V., y Hager, J. C. (2002). Facial Action Coding System (FACS): The Manual on CD-ROM. Salt Lake City: Research Nexus / A Human Face.</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