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 Esta independencia es metodológicamente relevante: el coeficiente positivo de y₄ NV sobre y₁₀ REP en el path analysis (β=+0.058, p=0.004) revela que la coexistencia de NV y REP en los mismos segmentos no es paradójica sino estructural — el Corpus B cita el vocabulario NV original para refutarlo mediante metalenguaje citativo, lo que produce la correlación negativa observada entre los componentes del DIS.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
El tamaño de efecto (Cohen's d) calculado sobre N_B=214 secciones confirma la robustez de los hallazgos principales: y₁₀ REP muestra el efecto más grande (d=0.514, p&lt;0.001), seguido por el DIS sintético (d=0.335, p&lt;0.001) e y₂ SA (d=0.257, p=0.023). El indicador y₄ NV no alcanza significación individual (d=0.324, p=0.354 n.s.), coherente con el hallazgo de §5.2.4 sobre la coexistencia de NV y REP por metalenguaje citativo en el Corpus B. Según la escala de Cohen (1988), los efectos de REP (d=0.514) y DIS (d=0.335) son efectos medianos — sustancialmente interpretables en el contexto del análisis de corpus judiciales.
Para evaluar la robustez de los pesos del DIS Score, se realizó un análisis de sensibilidad sobre 171 combinaciones sistemáticas de pesos (paso Δ=0.05, condición w_SA + w_NV + w_REP = 1.0). El 43.3% de las combinaciones (74/171) produce separación estadísticamente significativa A vs B (p&lt;0.05), con un d_cohen máximo de 0.496. Los pesos teóricos habermasianos (w_SA=0.35, w_NV=0.35, w_REP=0.30) producen d=0.204, dentro del rango de variación estable. Este resultado indica que el hallazgo A vs B no depende de la especificación exacta de los pesos sino que refleja una diferencia estructural entre los dos sistemas de justicia.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before="240" w:after="120"/>
      </w:pPr>
      <w:r>
        <w:rPr>
          <w:rFonts w:ascii="Times New Roman" w:cs="Times New Roman" w:eastAsia="Times New Roman" w:hAnsi="Times New Roman"/>
          <w:b/>
          <w:sz w:val="26"/>
          <w:szCs w:val="26"/>
        </w:rPr>
        <w:t xml:space="preserve">5.9 Capa 3 — Canal facial: composición del distress y normalización</w:t>
      </w:r>
    </w:p>
    <w:p>
      <w:pPr>
        <w:spacing w:after="200" w:line="360" w:lineRule="auto"/>
        <w:jc w:val="both"/>
      </w:pPr>
      <w:r>
        <w:rPr>
          <w:rFonts w:ascii="Times New Roman" w:cs="Times New Roman" w:eastAsia="Times New Roman" w:hAnsi="Times New Roman"/>
          <w:b/>
          <w:sz w:val="24"/>
          <w:szCs w:val="24"/>
        </w:rPr>
        <w:t xml:space="preserve">Extracción y atribución. </w:t>
      </w:r>
      <w:r>
        <w:rPr>
          <w:rFonts w:ascii="Times New Roman" w:cs="Times New Roman" w:eastAsia="Times New Roman" w:hAnsi="Times New Roman"/>
          <w:sz w:val="24"/>
          <w:szCs w:val="24"/>
        </w:rPr>
        <w:t xml:space="preserve">La Capa 3 multimodal del framework CFH extrae Action Units (AUs) faciales de los comparecientes en las audiencias de reconocimiento mediante MediaPipe FaceLandmarker, de manera homogénea en los cinco subcasos del Corpus C. La atribución de los segmentos faciales a cada compareciente se ancla en la marcación temporal verificada de su intervención —a partir de los letreros de identificación en pantalla de la JEP—, lo que garantiza una asignación de identidad auditable e independiente de la diarización automática. La unidad de análisis es el compareciente individual: cada uno recibe un valor de distress facial propio, calculado sobre sus frames válidos.</w:t>
      </w:r>
    </w:p>
    <w:p>
      <w:pPr>
        <w:spacing w:after="200" w:line="360" w:lineRule="auto"/>
        <w:jc w:val="both"/>
      </w:pPr>
      <w:r>
        <w:rPr>
          <w:rFonts w:ascii="Times New Roman" w:cs="Times New Roman" w:eastAsia="Times New Roman" w:hAnsi="Times New Roman"/>
          <w:b/>
          <w:sz w:val="24"/>
          <w:szCs w:val="24"/>
        </w:rPr>
        <w:t xml:space="preserve">Composición del distress. </w:t>
      </w:r>
      <w:r>
        <w:rPr>
          <w:rFonts w:ascii="Times New Roman" w:cs="Times New Roman" w:eastAsia="Times New Roman" w:hAnsi="Times New Roman"/>
          <w:sz w:val="24"/>
          <w:szCs w:val="24"/>
        </w:rPr>
        <w:t xml:space="preserve">El componente de distress facial se opera con las cuatro Action Units de la expresión prototípica de tristeza del sistema FACS (Ekman, Friesen y Hager, 2002): AU1 (ceja interna elevada), AU4 (ceño), AU15 (comisuras hacia abajo) y AU17 (mentón). El análisis de la contribución de cada AU sobre 51.220 frames del corpus permite caracterizar con precisión cómo se compone esta señal, y arroja un hallazgo metodológico de interés para el análisis facial en contextos de habla continua.</w:t>
      </w:r>
    </w:p>
    <w:tbl>
      <w:tblPr>
        <w:tblW w:w="88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400"/>
        <w:gridCol w:w="3400"/>
        <w:gridCol w:w="2400"/>
        <w:gridCol w:w="16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Action Unit</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Descriptor FACS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Contribución al distress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Correlación (r)</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b/>
                <w:sz w:val="18"/>
                <w:szCs w:val="18"/>
              </w:rPr>
              <w:t xml:space="preserve">AU4</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Ceño (brow lowerer)</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52%</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0.524</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Ceja interna elevada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0.260</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AU17</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Mentón (chin raiser)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0.691</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AU15</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Comisuras hacia abajo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0.092</w:t>
            </w:r>
          </w:p>
        </w:tc>
      </w:tr>
    </w:tbl>
    <w:p>
      <w:pPr>
        <w:spacing w:after="160" w:line="360" w:lineRule="auto"/>
        <w:jc w:val="both"/>
      </w:pPr>
      <w:r>
        <w:rPr>
          <w:rFonts w:ascii="Times New Roman" w:cs="Times New Roman" w:eastAsia="Times New Roman" w:hAnsi="Times New Roman"/>
          <w:i/>
          <w:sz w:val="20"/>
          <w:szCs w:val="20"/>
        </w:rPr>
        <w:t xml:space="preserve">Tabla 5.9. Composición del distress facial por Action Unit (51.220 frames, Corpus C). AU4 (ceño) es el contribuyente dominante; AU1 y AU17 aportan sustancialmente; AU15 es marginal. La correlación es la del AU con el distress agregado de las cuatro unidades.</w:t>
      </w:r>
    </w:p>
    <w:p>
      <w:pPr>
        <w:spacing w:after="200" w:line="360" w:lineRule="auto"/>
        <w:jc w:val="both"/>
      </w:pPr>
      <w:r>
        <w:rPr>
          <w:rFonts w:ascii="Times New Roman" w:cs="Times New Roman" w:eastAsia="Times New Roman" w:hAnsi="Times New Roman"/>
          <w:b/>
          <w:sz w:val="24"/>
          <w:szCs w:val="24"/>
        </w:rPr>
        <w:t xml:space="preserve">Supresión de AUs bucales por el habla. </w:t>
      </w:r>
      <w:r>
        <w:rPr>
          <w:rFonts w:ascii="Times New Roman" w:cs="Times New Roman" w:eastAsia="Times New Roman" w:hAnsi="Times New Roman"/>
          <w:sz w:val="24"/>
          <w:szCs w:val="24"/>
        </w:rPr>
        <w:t xml:space="preserve">AU4 (ceño) es el contribuyente dominante del distress (52%), seguido de AU1 (24%) y AU17 (23%); AU15 aporta de forma marginal (2%). Un hallazgo adicional refina la interpretación del canal facial en este corpus: las Action Units de la región bucal muestran supresión sistemática durante el habla. AU17 desciende cerca del 80% en los frames de habla activa frente a los frames de boca en reposo, y AU15 —ya de por sí de baja magnitud— se atenúa de forma análoga. Esto es coherente con la literatura sobre la interferencia del habla en la codificación facial: el movimiento articulatorio enmascara las AUs bucales. AU4, situada en la región frontal e independiente del aparato fonador, resulta por ello el indicador de distress más estable en audiencias donde los comparecientes hablan de forma continua. Este comportamiento se documenta como característica metodológica del análisis facial en contextos forenses orales, no como deficiencia de la medición.</w:t>
      </w:r>
    </w:p>
    <w:p>
      <w:pPr>
        <w:spacing w:after="200" w:line="360" w:lineRule="auto"/>
        <w:jc w:val="both"/>
      </w:pPr>
      <w:r>
        <w:rPr>
          <w:rFonts w:ascii="Times New Roman" w:cs="Times New Roman" w:eastAsia="Times New Roman" w:hAnsi="Times New Roman"/>
          <w:b/>
          <w:sz w:val="24"/>
          <w:szCs w:val="24"/>
        </w:rPr>
        <w:t xml:space="preserve">Normalización comparativa. </w:t>
      </w:r>
      <w:r>
        <w:rPr>
          <w:rFonts w:ascii="Times New Roman" w:cs="Times New Roman" w:eastAsia="Times New Roman" w:hAnsi="Times New Roman"/>
          <w:sz w:val="24"/>
          <w:szCs w:val="24"/>
        </w:rPr>
        <w:t xml:space="preserve">El canal facial se normaliza mediante z-score sobre la distribución del corpus (media μ=0.1024 y desviación estándar σ=0.0369, congeladas como constantes de calibración), mapeado al rango [0,1]. Esta elección responde a la naturaleza comparativa de los Action Units: conforme a Barrett et al. (2019), la intensidad absoluta de las configuraciones faciales no es directamente interpretable, por lo que la expresión facial se evalúa de forma relativa entre individuos. La normalización z-score preserva el poder discriminativo del canal en todo el rango sin saturar artificialmente a ningún compareciente, y la calibración fija asegura reproducibilidad: la incorporación de comparecientes adicionales no recalcula la escala.</w:t>
      </w:r>
    </w:p>
    <w:p>
      <w:pPr>
        <w:spacing w:after="200" w:line="360" w:lineRule="auto"/>
        <w:jc w:val="both"/>
      </w:pPr>
      <w:r>
        <w:rPr>
          <w:rFonts w:ascii="Times New Roman" w:cs="Times New Roman" w:eastAsia="Times New Roman" w:hAnsi="Times New Roman"/>
          <w:b/>
          <w:sz w:val="24"/>
          <w:szCs w:val="24"/>
        </w:rPr>
        <w:t xml:space="preserve">Nota epistemológica. </w:t>
      </w:r>
      <w:r>
        <w:rPr>
          <w:rFonts w:ascii="Times New Roman" w:cs="Times New Roman" w:eastAsia="Times New Roman" w:hAnsi="Times New Roman"/>
          <w:sz w:val="24"/>
          <w:szCs w:val="24"/>
        </w:rPr>
        <w:t xml:space="preserve">Los resultados de la Capa 3 deben leerse con una cautela fundamental. Conforme a Barrett et al. (2019), las configuraciones faciales no decodifican estados emocionales internos de manera universal; el ICM facial no mide sinceridad ni autenticidad psicológica individual. Mide congruencia entre señales comunicativas multimodales a nivel del compareciente —una caracterización comparativa, no una evaluación de personas. Adicionalmente, MediaPipe FaceLandmarker no ha sido auditado sobre rostros mestizos, afrocolombianos o indígenas (Buolamwini y Gebru, 2018; Sen et al., 2024), lo que constituye una limitación de transferibilidad explícita.</w:t>
      </w:r>
    </w:p>
    <w:p>
      <w:pPr>
        <w:pStyle w:val="Heading2"/>
        <w:spacing w:before="240" w:after="120"/>
      </w:pPr>
      <w:r>
        <w:rPr>
          <w:rFonts w:ascii="Times New Roman" w:cs="Times New Roman" w:eastAsia="Times New Roman" w:hAnsi="Times New Roman"/>
          <w:b/>
          <w:sz w:val="26"/>
          <w:szCs w:val="26"/>
        </w:rPr>
        <w:t xml:space="preserve">5.10 Capa 3 — ICM tri-canal por compareciente</w:t>
      </w:r>
    </w:p>
    <w:p>
      <w:pPr>
        <w:spacing w:after="200" w:line="360" w:lineRule="auto"/>
        <w:jc w:val="both"/>
      </w:pPr>
      <w:r>
        <w:rPr>
          <w:rFonts w:ascii="Times New Roman" w:cs="Times New Roman" w:eastAsia="Times New Roman" w:hAnsi="Times New Roman"/>
          <w:b/>
          <w:sz w:val="24"/>
          <w:szCs w:val="24"/>
        </w:rPr>
        <w:t xml:space="preserve">Cómputo individual. </w:t>
      </w:r>
      <w:r>
        <w:rPr>
          <w:rFonts w:ascii="Times New Roman" w:cs="Times New Roman" w:eastAsia="Times New Roman" w:hAnsi="Times New Roman"/>
          <w:sz w:val="24"/>
          <w:szCs w:val="24"/>
        </w:rPr>
        <w:t xml:space="preserve">El Índice de Congruencia Multimodal se calcula para cada compareciente individualmente, integrando los tres canales con pesos 0.40 facial / 0.40 vocal / 0.20 verbal. El canal facial se normaliza por z-score comparativo; el vocal mediante escala fija anclada en valores de referencia de la literatura (shimmer, variabilidad de F0 y HNR invertido); y el verbal como proporción del discurso reparador (REP, y₁₀). Cuando un canal carece de cobertura suficiente, el índice se renormaliza sobre los canales disponibles. Cada compareciente recibe una marca de robustez —sólido o mínimo— según la suficiencia de evidencia por canal: se exigen al menos 100 tokens para el canal verbal, 10 ventanas para el vocal y 25 frames para el facial. De los 47 comparecientes con cobertura suficiente para el ICM, 38 se clasifican como sólidos y 9 como mínimos.</w:t>
      </w:r>
    </w:p>
    <w:tbl>
      <w:tblPr>
        <w:tblW w:w="965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300"/>
        <w:gridCol w:w="2900"/>
        <w:gridCol w:w="1000"/>
        <w:gridCol w:w="1000"/>
        <w:gridCol w:w="1100"/>
        <w:gridCol w:w="1150"/>
        <w:gridCol w:w="12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6"/>
                <w:szCs w:val="16"/>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6"/>
                <w:szCs w:val="16"/>
              </w:rPr>
              <w:t xml:space="preserve">Compareciente</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Facial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Vocal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Verbal
(REP)</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ICM
tri-canal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Robustez</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Juan Carlos Chaparro Chaparro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0.337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Ruben Dario Castro Gomez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Santiago Herrera Fajardo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0.280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Henry Torres Escalante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Juan Carlos Soto Sepulveda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0.149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Heber Hernan Gomez Naranjo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0.543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0.405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0.062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0.392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de Jesus Rueda Quintero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Manuel Valentin Padilla Espitia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0.231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Yeris Andres Gomez Coronel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Yair Leandro Rodríguez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Edie Pinzón Turcios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0.185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Jaime Coral Trujillo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Carlos Andrés Caravalli</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0.382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0.468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William Andrés Capera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Efraín Enrique Prada Correa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Hermes Mauricio Alvarado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0.035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Ricardo Manuel Buelvas Lozano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Alfonso Romero Buitrago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0.565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0.377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Fidel Iván Ochoa Blanco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0.563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0.380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Luis Fidel Arenas Rodríguez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0.732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0.488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Levis de Jesús Contreras</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0.765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0.454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0.054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0.498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Aris Ramirez Campos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Angel Fernando Carvajal Rojas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0.232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0.267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Jair Fernandez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0.273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Luis Carlos Aguilera Quintero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Albeiro Bustos Aguilar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Fabio Guzman Muñoz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Fabian Fermin Durango de la Cruz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0.104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Yati Anacona Bueno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0.338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Francisco Javier Castañeda Alfaro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David Restrepo Solarte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Luis Carlos Oyola Tapia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0.132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Wilder Samboni Chanchi</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0.403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0.383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Jose Gañan Tapasco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0.542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0.227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0.398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Divar Juspian Jimenez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Jhon Jairo Buitrago Lopez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0.406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0.581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0.038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Harbey Sanchez Gomez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0.520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0.363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0.412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0.436</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Ricardo Andres Lopez Garcia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0.461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Annuar Herrera Osorio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0.484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0.562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0.278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0.474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Jair Arias Sanchez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0.475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Fernando Riveros Sarmiento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0.769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Faiver Coronado Camero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0.601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0.505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Roldan Lopez Ceron</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0.478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Julian Andres Calderon Motta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0.727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0.520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Cesar Augusto Vasquez Ordoñez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0.704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Fabio Nelson Rodriguez Barrera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0.749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Hernando Mendez Rodriguez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0.774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0.495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0.357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0.579</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bl>
    <w:p>
      <w:pPr>
        <w:spacing w:after="160" w:line="360" w:lineRule="auto"/>
        <w:jc w:val="both"/>
      </w:pPr>
      <w:r>
        <w:rPr>
          <w:rFonts w:ascii="Times New Roman" w:cs="Times New Roman" w:eastAsia="Times New Roman" w:hAnsi="Times New Roman"/>
          <w:i/>
          <w:sz w:val="20"/>
          <w:szCs w:val="20"/>
        </w:rPr>
        <w:t xml:space="preserve">Tabla 5.10. ICM tri-canal por compareciente (47 comparecientes, Corpus C). Facial normalizado por z-score comparativo; vocal por escala fija de literatura; verbal como proporción del discurso reparador. ICM = 0.40·facial + 0.40·vocal + 0.20·verbal, renormalizado por cobertura. Filas ámbar: robustez mínima (evidencia escasa en al menos un canal). Ordenado por subcaso y por ICM ascendente.</w:t>
      </w:r>
    </w:p>
    <w:p>
      <w:pPr>
        <w:pStyle w:val="Heading2"/>
        <w:spacing w:before="240" w:after="120"/>
      </w:pPr>
      <w:r>
        <w:rPr>
          <w:rFonts w:ascii="Times New Roman" w:cs="Times New Roman" w:eastAsia="Times New Roman" w:hAnsi="Times New Roman"/>
          <w:b/>
          <w:sz w:val="26"/>
          <w:szCs w:val="26"/>
        </w:rPr>
        <w:t xml:space="preserve">5.11 Capa 3 — Síntesis interpretativa por subcaso</w:t>
      </w:r>
    </w:p>
    <w:p>
      <w:pPr>
        <w:spacing w:after="200" w:line="360" w:lineRule="auto"/>
        <w:jc w:val="both"/>
      </w:pPr>
      <w:r>
        <w:rPr>
          <w:rFonts w:ascii="Times New Roman" w:cs="Times New Roman" w:eastAsia="Times New Roman" w:hAnsi="Times New Roman"/>
          <w:b/>
          <w:sz w:val="24"/>
          <w:szCs w:val="24"/>
        </w:rPr>
        <w:t xml:space="preserve">Del subcaso al individuo. </w:t>
      </w:r>
      <w:r>
        <w:rPr>
          <w:rFonts w:ascii="Times New Roman" w:cs="Times New Roman" w:eastAsia="Times New Roman" w:hAnsi="Times New Roman"/>
          <w:sz w:val="24"/>
          <w:szCs w:val="24"/>
        </w:rPr>
        <w:t xml:space="preserve">El nivel individual revela un patrón que el análisis agregado por subcaso no podía mostrar: la congruencia multimodal es un atributo del compareciente, no del subcaso. La dispersión intra-subcaso es sustancial y, en varios casos, supera las diferencias entre subcasos. La siguiente tabla resume la distribución del ICM por subcaso; las medias deben leerse como descriptores de tendencia central, no como valores que caractericen uniformemente a todos los comparecientes del subcaso.</w:t>
      </w:r>
    </w:p>
    <w:tbl>
      <w:tblPr>
        <w:tblW w:w="79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700"/>
        <w:gridCol w:w="800"/>
        <w:gridCol w:w="1500"/>
        <w:gridCol w:w="1300"/>
        <w:gridCol w:w="1300"/>
        <w:gridCol w:w="13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ICM medio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mín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máx</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rango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0.344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0.337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0.017</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0.000</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0.398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0.091</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0.370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0.256</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0.410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0.336</w:t>
            </w:r>
          </w:p>
        </w:tc>
      </w:tr>
    </w:tbl>
    <w:p>
      <w:pPr>
        <w:spacing w:after="160" w:line="360" w:lineRule="auto"/>
        <w:jc w:val="both"/>
      </w:pPr>
      <w:r>
        <w:rPr>
          <w:rFonts w:ascii="Times New Roman" w:cs="Times New Roman" w:eastAsia="Times New Roman" w:hAnsi="Times New Roman"/>
          <w:i/>
          <w:sz w:val="20"/>
          <w:szCs w:val="20"/>
        </w:rPr>
        <w:t xml:space="preserve">Tabla 5.11. Distribución del ICM tri-canal por subcaso. Casanare tiene un único compareciente identificado (General Torres Escalante). La amplitud del rango en Huila (0.336) y Dabeiba (0.256) evidencia que la congruencia multimodal varía más entre individuos de un mismo subcaso que entre las medias de los subcasos.</w:t>
      </w:r>
    </w:p>
    <w:p>
      <w:pPr>
        <w:spacing w:after="200" w:line="360" w:lineRule="auto"/>
        <w:jc w:val="both"/>
      </w:pPr>
      <w:r>
        <w:rPr>
          <w:rFonts w:ascii="Times New Roman" w:cs="Times New Roman" w:eastAsia="Times New Roman" w:hAnsi="Times New Roman"/>
          <w:b/>
          <w:sz w:val="24"/>
          <w:szCs w:val="24"/>
        </w:rPr>
        <w:t xml:space="preserve">Casanare (Torres Escalante). </w:t>
      </w:r>
      <w:r>
        <w:rPr>
          <w:rFonts w:ascii="Times New Roman" w:cs="Times New Roman" w:eastAsia="Times New Roman" w:hAnsi="Times New Roman"/>
          <w:sz w:val="24"/>
          <w:szCs w:val="24"/>
        </w:rPr>
        <w:t xml:space="preserve">Torres Escalante es el único compareciente identificado del subcaso y presenta un perfil de divergencia entre canales que constituye el hallazgo más interpretativo de la Capa 3. Su canal vocal es el más alto del corpus (0.624 — alta irregularidad prosódica, con el shimmer más elevado), mientras su canal facial es comparativamente bajo (0.346). La divergencia entre ambos canales no verbales (Δ=0.278) es la mayor del corpus: la voz comunica carga emocional mientras el rostro mantiene una expresión contenida, con la sonrisa (AU12) más alta y el ceño (AU4) más bajo entre los comparecientes con buena detección. Antes que leerse como «el ICM más bajo», el patrón se caracteriza con mayor precisión como la máxima divergencia vocal-facial del corpus —una incongruencia entre canales no verbales que ningún análisis monomodal podría capturar.</w:t>
      </w:r>
    </w:p>
    <w:p>
      <w:pPr>
        <w:spacing w:after="200" w:line="360" w:lineRule="auto"/>
        <w:jc w:val="both"/>
      </w:pPr>
      <w:r>
        <w:rPr>
          <w:rFonts w:ascii="Times New Roman" w:cs="Times New Roman" w:eastAsia="Times New Roman" w:hAnsi="Times New Roman"/>
          <w:b/>
          <w:sz w:val="24"/>
          <w:szCs w:val="24"/>
        </w:rPr>
        <w:t xml:space="preserve">Catatumbo (Chaparro, Castro, Herrera). </w:t>
      </w:r>
      <w:r>
        <w:rPr>
          <w:rFonts w:ascii="Times New Roman" w:cs="Times New Roman" w:eastAsia="Times New Roman" w:hAnsi="Times New Roman"/>
          <w:sz w:val="24"/>
          <w:szCs w:val="24"/>
        </w:rPr>
        <w:t xml:space="preserve">Los tres comparecientes de Catatumbo presentan ICM tri-canal muy homogéneo (0.337–0.354), el subcaso de menor dispersión. El Capitán Chaparro (ICM=0.337) ejemplifica la disociación léxico-semántica analizada en §5.13: su discurso es gramaticalmente directo pero semánticamente el más distante del lenguaje de las víctimas. Castro Gómez destaca por el mayor canal verbal del subcaso (REP=0.611). Catatumbo, primera audiencia de reconocimiento del Macrocaso 003 (abril 2022), presenta además el AU15 más alto del corpus, coherente con la intensidad emocional singular de ese primer encuentro público con las víctimas.</w:t>
      </w:r>
    </w:p>
    <w:p>
      <w:pPr>
        <w:spacing w:after="200" w:line="360" w:lineRule="auto"/>
        <w:jc w:val="both"/>
      </w:pPr>
      <w:r>
        <w:rPr>
          <w:rFonts w:ascii="Times New Roman" w:cs="Times New Roman" w:eastAsia="Times New Roman" w:hAnsi="Times New Roman"/>
          <w:b/>
          <w:sz w:val="24"/>
          <w:szCs w:val="24"/>
        </w:rPr>
        <w:t xml:space="preserve">Dabeiba (12 comparecientes). </w:t>
      </w:r>
      <w:r>
        <w:rPr>
          <w:rFonts w:ascii="Times New Roman" w:cs="Times New Roman" w:eastAsia="Times New Roman" w:hAnsi="Times New Roman"/>
          <w:sz w:val="24"/>
          <w:szCs w:val="24"/>
        </w:rPr>
        <w:t xml:space="preserve">Dabeiba presenta una de las mayores dispersiones del corpus (ICM de 0.242 a 0.498). Varios comparecientes con alto distress facial —Contreras (0.765) y Arenas (0.732)— elevan el extremo superior, mientras otros con expresión facial contenida ocupan el inferior. Esta heterogeneidad matiza la lectura previa que atribuía a Dabeiba una congruencia uniformemente alta: la materialidad del acto de reconocimiento en este subcaso —los comparecientes guiaron a los investigadores a 49 fosas del cementerio Las Mercedes— coexiste con perfiles multimodales individuales diversos. Cuatro comparecientes del subcaso se clasifican como robustez mínima por evidencia escasa en algún canal.</w:t>
      </w:r>
    </w:p>
    <w:p>
      <w:pPr>
        <w:spacing w:after="200" w:line="360" w:lineRule="auto"/>
        <w:jc w:val="both"/>
      </w:pPr>
      <w:r>
        <w:rPr>
          <w:rFonts w:ascii="Times New Roman" w:cs="Times New Roman" w:eastAsia="Times New Roman" w:hAnsi="Times New Roman"/>
          <w:b/>
          <w:sz w:val="24"/>
          <w:szCs w:val="24"/>
        </w:rPr>
        <w:t xml:space="preserve">Huila (26 comparecientes). </w:t>
      </w:r>
      <w:r>
        <w:rPr>
          <w:rFonts w:ascii="Times New Roman" w:cs="Times New Roman" w:eastAsia="Times New Roman" w:hAnsi="Times New Roman"/>
          <w:sz w:val="24"/>
          <w:szCs w:val="24"/>
        </w:rPr>
        <w:t xml:space="preserve">Huila es el subcaso más numeroso (26 comparecientes) y el de mayor dispersión (ICM de 0.243 a 0.579), que contiene tanto el valor más alto del corpus (Hernando Méndez, 0.579) como uno de los más bajos (Aris Ramírez, 0.243). Es también el subcaso semánticamente más cercano al lenguaje de las víctimas a nivel agregado. Destacan comparecientes con alto canal verbal reparador —Riveros Sarmiento (REP=0.769), Arias Sánchez (0.665), Aguilera Quintero (0.564)— cuyo ICM, sin embargo, queda modulado por sus canales no verbales. La amplitud del rango confirma que en Huila la congruencia multimodal es estrictamente individual y no se deja resumir por el subcaso.</w:t>
      </w:r>
    </w:p>
    <w:p>
      <w:pPr>
        <w:spacing w:after="200" w:line="360" w:lineRule="auto"/>
        <w:jc w:val="both"/>
      </w:pPr>
      <w:r>
        <w:rPr>
          <w:rFonts w:ascii="Times New Roman" w:cs="Times New Roman" w:eastAsia="Times New Roman" w:hAnsi="Times New Roman"/>
          <w:b/>
          <w:sz w:val="24"/>
          <w:szCs w:val="24"/>
        </w:rPr>
        <w:t xml:space="preserve">Costa Caribe (5 comparecientes). </w:t>
      </w:r>
      <w:r>
        <w:rPr>
          <w:rFonts w:ascii="Times New Roman" w:cs="Times New Roman" w:eastAsia="Times New Roman" w:hAnsi="Times New Roman"/>
          <w:sz w:val="24"/>
          <w:szCs w:val="24"/>
        </w:rPr>
        <w:t xml:space="preserve">Los cinco comparecientes de Costa Caribe (Batallón La Popa) presentan ICM entre 0.345 y 0.436, con cobertura facial y vocal completa tras la reextracción homogénea del canal facial (5.396 frames). Gómez Naranjo se marca como robustez mínima por evidencia facial escasa. La incorporación plena de Costa Caribe completa el Corpus C en los cinco subcasos para el análisis multimodal.</w:t>
      </w:r>
    </w:p>
    <w:p>
      <w:pPr>
        <w:pStyle w:val="Heading2"/>
        <w:spacing w:before="240" w:after="120"/>
      </w:pPr>
      <w:r>
        <w:rPr>
          <w:rFonts w:ascii="Times New Roman" w:cs="Times New Roman" w:eastAsia="Times New Roman" w:hAnsi="Times New Roman"/>
          <w:b/>
          <w:sz w:val="26"/>
          <w:szCs w:val="26"/>
        </w:rPr>
        <w:t xml:space="preserve">5.12 Capa 3 — Disociación de canales como patrón estructural</w:t>
      </w:r>
    </w:p>
    <w:p>
      <w:pPr>
        <w:spacing w:after="200" w:line="360" w:lineRule="auto"/>
        <w:jc w:val="both"/>
      </w:pPr>
      <w:r>
        <w:rPr>
          <w:rFonts w:ascii="Times New Roman" w:cs="Times New Roman" w:eastAsia="Times New Roman" w:hAnsi="Times New Roman"/>
          <w:b/>
          <w:sz w:val="24"/>
          <w:szCs w:val="24"/>
        </w:rPr>
        <w:t xml:space="preserve">El reconocimiento como fenómeno multidimensional. </w:t>
      </w:r>
      <w:r>
        <w:rPr>
          <w:rFonts w:ascii="Times New Roman" w:cs="Times New Roman" w:eastAsia="Times New Roman" w:hAnsi="Times New Roman"/>
          <w:sz w:val="24"/>
          <w:szCs w:val="24"/>
        </w:rPr>
        <w:t xml:space="preserve">El análisis individual confirma y profundiza el hallazgo central de la Capa 3: la disociación entre canales discursivos es el patrón estructural dominante de las audiencias de reconocimiento. En ningún compareciente los tres canales apuntan uniformemente en la misma dirección. Esta disociación adopta formas distintas: divergencia vocal-facial (paradigmáticamente Torres Escalante, Δ=0.278), disociación léxico-semántica (Chaparro, que usa el vocabulario de las víctimas en superficie pero permanece distante en el embedding profundo), o canal verbal reparador alto con canales no verbales contenidos (Aguilera, Riveros). La existencia de estos perfiles heterogéneos —imposibles de detectar con un único canal— valida metodológicamente la arquitectura tri-canal del ICM y, más ampliamente, la arquitectura multi-capa del framework CFH: un análisis monomodal habría producido conclusiones empobrecidas o erróneas sobre la naturaleza del reconocimiento en la justicia transicional.</w:t>
      </w:r>
    </w:p>
    <w:p>
      <w:pPr>
        <w:pStyle w:val="Heading2"/>
        <w:spacing w:before="240" w:after="120"/>
      </w:pPr>
      <w:r>
        <w:rPr>
          <w:rFonts w:ascii="Times New Roman" w:cs="Times New Roman" w:eastAsia="Times New Roman" w:hAnsi="Times New Roman"/>
          <w:b/>
          <w:sz w:val="26"/>
          <w:szCs w:val="26"/>
        </w:rPr>
        <w:t xml:space="preserve">5.13 Índice de Injusticia Epistémica (IEI) y comparación con el DIS Score</w:t>
      </w:r>
    </w:p>
    <w:p>
      <w:pPr>
        <w:spacing w:after="200" w:line="360" w:lineRule="auto"/>
        <w:jc w:val="both"/>
      </w:pPr>
      <w:r>
        <w:rPr>
          <w:rFonts w:ascii="Times New Roman" w:cs="Times New Roman" w:eastAsia="Times New Roman" w:hAnsi="Times New Roman"/>
          <w:b/>
          <w:sz w:val="24"/>
          <w:szCs w:val="24"/>
        </w:rPr>
        <w:t xml:space="preserve">Definición del IEI. </w:t>
      </w:r>
      <w:r>
        <w:rPr>
          <w:rFonts w:ascii="Times New Roman" w:cs="Times New Roman" w:eastAsia="Times New Roman" w:hAnsi="Times New Roman"/>
          <w:sz w:val="24"/>
          <w:szCs w:val="24"/>
        </w:rPr>
        <w:t xml:space="preserve">El Índice de Injusticia Epistémica (IEI) operacionaliza el marco de Fricker (2007) con los indicadores disponibles: distancia semántica al léxico de las víctimas (y₈ MAFAPO, peso 0.35), distancia a estándares de derechos humanos (y₉ CIDH, peso 0.20), déficit de credibilidad léxico (y₄ NV, peso 0.25) y ausencia de expansión hermenéutica (1−y₁₀ REP, peso 0.20). Mientras el DIS Score mide la injusticia discursiva en sentido gramatical y léxico, el IEI mide si el proceso dialógico de las audiencias corrige la injusticia hermenéutica de las víctimas, operacionalizada como convergencia semántica hacia su léxico.</w:t>
      </w:r>
    </w:p>
    <w:tbl>
      <w:tblPr>
        <w:tblW w:w="75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700"/>
        <w:gridCol w:w="1300"/>
        <w:gridCol w:w="1300"/>
        <w:gridCol w:w="1700"/>
        <w:gridCol w:w="15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DIS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IEI</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Δ |DIS−IEI|</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Patrón</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0.517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Catatumbo</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0.110</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0.624</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b/>
                <w:sz w:val="18"/>
                <w:szCs w:val="18"/>
              </w:rPr>
              <w:t xml:space="preserve">0.514</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IEI&gt;DIS</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0.190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0.081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0.147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0.231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0.233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bl>
    <w:p>
      <w:pPr>
        <w:spacing w:after="160" w:line="360" w:lineRule="auto"/>
        <w:jc w:val="both"/>
      </w:pPr>
      <w:r>
        <w:rPr>
          <w:rFonts w:ascii="Times New Roman" w:cs="Times New Roman" w:eastAsia="Times New Roman" w:hAnsi="Times New Roman"/>
          <w:i/>
          <w:sz w:val="20"/>
          <w:szCs w:val="20"/>
        </w:rPr>
        <w:t xml:space="preserve">Tabla 5.14. DIS Score (η₁, injusticia discursiva) vs. IEI (η₂, injusticia epistémica) por subcaso, Corpus C. DIS = 0.35·y₂ + 0.35·y₄ + 0.30·(1−y₁₀). IEI = 0.35·y₈ + 0.20·y₉ + 0.25·y₄ + 0.20·(1−y₁₀). Mayor valor = mayor injusticia. Verde: caso paradigmático de disociación (Catatumbo).</w:t>
      </w:r>
    </w:p>
    <w:p>
      <w:pPr>
        <w:spacing w:after="200" w:line="360" w:lineRule="auto"/>
        <w:jc w:val="both"/>
      </w:pPr>
      <w:r>
        <w:rPr>
          <w:rFonts w:ascii="Times New Roman" w:cs="Times New Roman" w:eastAsia="Times New Roman" w:hAnsi="Times New Roman"/>
          <w:b/>
          <w:sz w:val="24"/>
          <w:szCs w:val="24"/>
        </w:rPr>
        <w:t xml:space="preserve">Disociación DIS-IEI. </w:t>
      </w:r>
      <w:r>
        <w:rPr>
          <w:rFonts w:ascii="Times New Roman" w:cs="Times New Roman" w:eastAsia="Times New Roman" w:hAnsi="Times New Roman"/>
          <w:sz w:val="24"/>
          <w:szCs w:val="24"/>
        </w:rPr>
        <w:t xml:space="preserve">El hallazgo central de la comparación es que los dos índices pueden disociarse, y la disociación tiene un caso paradigmático: Catatumbo (Δ=0.514). El Capitán Chaparro exhibe la menor injusticia discursiva del corpus (DIS=0.110 — menor SA, menor NV) pero la mayor injusticia epistémica (IEI=0.624 — máxima distancia semántica a MAFAPO). Reducir la injusticia gramatical y léxica no garantiza adoptar los recursos hermenéuticos de las víctimas. En términos de Fricker (2007), Chaparro corrige la injusticia testimonial —cede autoridad gramatical, habla en primera persona activa, reduce la negación de victimización— pero mantiene la injusticia hermenéutica: su léxico permanece distante del que las víctimas usaron para nombrar su experiencia.</w:t>
      </w:r>
    </w:p>
    <w:p>
      <w:pPr>
        <w:spacing w:after="200" w:line="360" w:lineRule="auto"/>
        <w:jc w:val="both"/>
      </w:pPr>
      <w:r>
        <w:rPr>
          <w:rFonts w:ascii="Times New Roman" w:cs="Times New Roman" w:eastAsia="Times New Roman" w:hAnsi="Times New Roman"/>
          <w:b/>
          <w:sz w:val="24"/>
          <w:szCs w:val="24"/>
        </w:rPr>
        <w:t xml:space="preserve">Coherencia y disociación por subcaso. </w:t>
      </w:r>
      <w:r>
        <w:rPr>
          <w:rFonts w:ascii="Times New Roman" w:cs="Times New Roman" w:eastAsia="Times New Roman" w:hAnsi="Times New Roman"/>
          <w:sz w:val="24"/>
          <w:szCs w:val="24"/>
        </w:rPr>
        <w:t xml:space="preserve">Casanare (Torres Escalante) presenta coherencia negativa: alto DIS (0.808) y alto IEI (0.517), el único subcaso donde ambos tipos de injusticia son simultáneamente elevados. Huila presenta el mejor perfil bi-índice (DIS=0.228, IEI=0.081), como subcaso semánticamente más cercano al léxico de las víctimas. Dabeiba muestra disociación DIS&gt;IEI (0.490 vs 0.299): adoptó el léxico de las víctimas más que la gramática de la responsabilidad. La comparación DIS-IEI sostiene la proposición empírica más original del análisis: en el proceso dialógico de la JEP, la corrección de la injusticia discursiva y la de la injusticia epistémica son fenómenos parcialmente independientes, que pueden avanzar a ritmos y en direcciones distintas.</w:t>
      </w:r>
    </w:p>
    <w:p>
      <w:pPr>
        <w:spacing w:after="200" w:line="360" w:lineRule="auto"/>
        <w:jc w:val="both"/>
      </w:pPr>
      <w:r>
        <w:rPr>
          <w:rFonts w:ascii="Times New Roman" w:cs="Times New Roman" w:eastAsia="Times New Roman" w:hAnsi="Times New Roman"/>
          <w:b/>
          <w:sz w:val="24"/>
          <w:szCs w:val="24"/>
        </w:rPr>
        <w:t xml:space="preserve">Robustez. </w:t>
      </w:r>
      <w:r>
        <w:rPr>
          <w:rFonts w:ascii="Times New Roman" w:cs="Times New Roman" w:eastAsia="Times New Roman" w:hAnsi="Times New Roman"/>
          <w:sz w:val="24"/>
          <w:szCs w:val="24"/>
        </w:rPr>
        <w:t xml:space="preserve">La robustez de los valores DIS e IEI se verificó mediante análisis de sensibilidad de pesos: la condición IEI&gt;DIS de Catatumbo se mantiene en el 100% de 141 combinaciones de pesos plausibles, y su condición de máxima disociación en el 85%. El hallazgo no es un artefacto de la especificación de pesos.</w:t>
      </w:r>
    </w:p>
    <w:p>
      <w:pPr>
        <w:pStyle w:val="Heading2"/>
        <w:spacing w:before="240" w:after="120"/>
      </w:pPr>
      <w:r>
        <w:rPr>
          <w:rFonts w:ascii="Times New Roman" w:cs="Times New Roman" w:eastAsia="Times New Roman" w:hAnsi="Times New Roman"/>
          <w:b/>
          <w:sz w:val="26"/>
          <w:szCs w:val="26"/>
        </w:rPr>
        <w:t xml:space="preserve">5.14 Indicadores Beach (2021): registro léxico, verbos atributivos y evidenciales</w:t>
      </w:r>
    </w:p>
    <w:p>
      <w:pPr>
        <w:spacing w:after="200" w:line="360" w:lineRule="auto"/>
        <w:jc w:val="both"/>
      </w:pPr>
      <w:r>
        <w:rPr>
          <w:rFonts w:ascii="Times New Roman" w:cs="Times New Roman" w:eastAsia="Times New Roman" w:hAnsi="Times New Roman"/>
          <w:b/>
          <w:sz w:val="24"/>
          <w:szCs w:val="24"/>
        </w:rPr>
        <w:t xml:space="preserve">Indicadores léxico-sintácticos. </w:t>
      </w:r>
      <w:r>
        <w:rPr>
          <w:rFonts w:ascii="Times New Roman" w:cs="Times New Roman" w:eastAsia="Times New Roman" w:hAnsi="Times New Roman"/>
          <w:sz w:val="24"/>
          <w:szCs w:val="24"/>
        </w:rPr>
        <w:t xml:space="preserve">Los tres indicadores de Beach et al. (2021) —quotes/registro léxico (y₁₁), verbos atributivos (y₁₂) y evidenciales (y₁₃)— operacionalizan la injusticia testimonial en el nivel léxico-sintáctico, complementando los indicadores semánticos y₈/y₉. Los tres son estadísticamente significativos entre Corpus A y B (p&lt;0.001, Mann-Whitney U bilateral). El hallazgo más robusto es y₁₂ verbos atributivos: A=0.270 vs B=0.058 (4,6× mayor en la justicia ordinaria), que usa significativamente más verbos de baja credibilidad —«alegó», «adujo», «supuestamente»— para referirse a las declaraciones de las víctimas, incorporando el descuento de credibilidad directamente en la gramática del relato judicial.</w:t>
      </w:r>
    </w:p>
    <w:p>
      <w:pPr>
        <w:spacing w:after="200" w:line="360" w:lineRule="auto"/>
        <w:jc w:val="both"/>
      </w:pPr>
      <w:r>
        <w:rPr>
          <w:rFonts w:ascii="Times New Roman" w:cs="Times New Roman" w:eastAsia="Times New Roman" w:hAnsi="Times New Roman"/>
          <w:b/>
          <w:sz w:val="24"/>
          <w:szCs w:val="24"/>
        </w:rPr>
        <w:t xml:space="preserve">Disociación léxico-semántica en Catatumbo. </w:t>
      </w:r>
      <w:r>
        <w:rPr>
          <w:rFonts w:ascii="Times New Roman" w:cs="Times New Roman" w:eastAsia="Times New Roman" w:hAnsi="Times New Roman"/>
          <w:sz w:val="24"/>
          <w:szCs w:val="24"/>
        </w:rPr>
        <w:t xml:space="preserve">Para el Corpus C oral, y₁₁ se operacionaliza como registro léxico MAFAPO frente a militar, dado que las transcripciones automáticas no preservan marcadores tipográficos de cita. Los resultados revelan una disociación de dos niveles en Catatumbo: el Capitán Chaparro usa vocabulario del campo semántico de las víctimas en superficie (proporción MAFAPO=0.736, el segundo más alto) pero su discurso, medido a nivel de embedding profundo, permanece el más distante del centroide MAFAPO (y₈=0.207). Adopta el vocabulario superficial de los recursos hermenéuticos de las víctimas sin adoptar su estructura semántica subyacente. Esta disociación léxico-semántica es el hallazgo más sofisticado del análisis verbal del Corpus C, y refuerza por una vía independiente la disociación DIS-IEI documentada en §5.13.</w:t>
      </w:r>
    </w:p>
    <w:p>
      <w:pPr>
        <w:pStyle w:val="Heading2"/>
        <w:spacing w:before="240" w:after="120"/>
      </w:pPr>
      <w:r>
        <w:rPr>
          <w:rFonts w:ascii="Times New Roman" w:cs="Times New Roman" w:eastAsia="Times New Roman" w:hAnsi="Times New Roman"/>
          <w:b/>
          <w:sz w:val="26"/>
          <w:szCs w:val="26"/>
        </w:rPr>
        <w:t xml:space="preserve">5.15 Integración del canal verbal en el ICM</w:t>
      </w:r>
    </w:p>
    <w:p>
      <w:pPr>
        <w:spacing w:after="200" w:line="360" w:lineRule="auto"/>
        <w:jc w:val="both"/>
      </w:pPr>
      <w:r>
        <w:rPr>
          <w:rFonts w:ascii="Times New Roman" w:cs="Times New Roman" w:eastAsia="Times New Roman" w:hAnsi="Times New Roman"/>
          <w:b/>
          <w:sz w:val="24"/>
          <w:szCs w:val="24"/>
        </w:rPr>
        <w:t xml:space="preserve">El canal verbal como proporción reparadora. </w:t>
      </w:r>
      <w:r>
        <w:rPr>
          <w:rFonts w:ascii="Times New Roman" w:cs="Times New Roman" w:eastAsia="Times New Roman" w:hAnsi="Times New Roman"/>
          <w:sz w:val="24"/>
          <w:szCs w:val="24"/>
        </w:rPr>
        <w:t xml:space="preserve">El canal verbal del ICM se opera mediante el indicador REP (y₁₀) como proporción del discurso reparador, una reformulación que aísla la disposición reparadora del compareciente del factor exógeno de la duración de su intervención —determinada institucionalmente por la JEP, no por el compareciente. Esta operacionalización reconoce que la corrección hermenéutica tiene dos dimensiones potencialmente disociables: la adopción del vocabulario de las víctimas en superficie (capturada por los indicadores Beach) y la adopción de su estructura semántica profunda (capturada por la distancia de embedding y₈). El caso de Chaparro en Catatumbo muestra que ambas pueden divergir, lo que justifica mantener el canal verbal con un peso moderado (0.20) dentro del ICM: es informativo, pero su contenido semántico ya queda parcialmente capturado por los índices DIS e IEI.</w:t>
      </w:r>
    </w:p>
    <w:p>
      <w:pPr>
        <w:pStyle w:val="Heading2"/>
        <w:spacing w:before="240" w:after="120"/>
      </w:pPr>
      <w:r>
        <w:rPr>
          <w:rFonts w:ascii="Times New Roman" w:cs="Times New Roman" w:eastAsia="Times New Roman" w:hAnsi="Times New Roman"/>
          <w:b/>
          <w:sz w:val="26"/>
          <w:szCs w:val="26"/>
        </w:rPr>
        <w:t xml:space="preserve">5.16 Validación de robustez de los pesos del ICM tri-canal</w:t>
      </w:r>
    </w:p>
    <w:p>
      <w:pPr>
        <w:spacing w:after="200" w:line="360" w:lineRule="auto"/>
        <w:jc w:val="both"/>
      </w:pPr>
      <w:r>
        <w:rPr>
          <w:rFonts w:ascii="Times New Roman" w:cs="Times New Roman" w:eastAsia="Times New Roman" w:hAnsi="Times New Roman"/>
          <w:b/>
          <w:sz w:val="24"/>
          <w:szCs w:val="24"/>
        </w:rPr>
        <w:t xml:space="preserve">Procedimiento. </w:t>
      </w:r>
      <w:r>
        <w:rPr>
          <w:rFonts w:ascii="Times New Roman" w:cs="Times New Roman" w:eastAsia="Times New Roman" w:hAnsi="Times New Roman"/>
          <w:sz w:val="24"/>
          <w:szCs w:val="24"/>
        </w:rPr>
        <w:t xml:space="preserve">Dado que el ICM compone los tres canales con pesos fijos (0.40 facial / 0.40 vocal / 0.20 verbal), la estabilidad del ordenamiento de comparecientes ante esa elección se evalúa mediante simulación Monte Carlo, coherente con el procedimiento de sensibilidad de pesos aplicado al DIS Score (§5.13). Se generan pesos alternativos y se calcula el coeficiente de concordancia de rangos Kendall τ entre el ranking resultante y el de referencia, con umbral de robustez τ≥0.80. El análisis se realiza en dos modos complementarios sobre 5.000 simulaciones cada uno.</w:t>
      </w:r>
    </w:p>
    <w:tbl>
      <w:tblPr>
        <w:tblW w:w="86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3400"/>
        <w:gridCol w:w="1900"/>
        <w:gridCol w:w="1700"/>
        <w:gridCol w:w="16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Modo / esquema</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Kendall τ</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 sim. τ≥0.80</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Lectura</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Restringido (±0.10 local)</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0.908 (medio)</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97.7%</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Completo (todo el simplex)</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0.588 (medio)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facial decisivo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45/45/10 (no verbal)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50/30/20 (facial)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33/33/33 (igual)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0.753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moderado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8"/>
                <w:szCs w:val="18"/>
              </w:rPr>
              <w:t xml:space="preserve">Esquema sin facial (0/60/40)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0.233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reordena</w:t>
            </w:r>
          </w:p>
        </w:tc>
      </w:tr>
    </w:tbl>
    <w:p>
      <w:pPr>
        <w:spacing w:after="160" w:line="360" w:lineRule="auto"/>
        <w:jc w:val="both"/>
      </w:pPr>
      <w:r>
        <w:rPr>
          <w:rFonts w:ascii="Times New Roman" w:cs="Times New Roman" w:eastAsia="Times New Roman" w:hAnsi="Times New Roman"/>
          <w:i/>
          <w:sz w:val="20"/>
          <w:szCs w:val="20"/>
        </w:rPr>
        <w:t xml:space="preserve">Tabla 5.16. Sensibilidad de los pesos del ICM tri-canal (Monte Carlo, 5.000 simulaciones por modo; Kendall τ vs. ranking de referencia 0.40/0.40/0.20). Verde: robustez ante variaciones razonables. Ámbar: la eliminación del canal facial reordena el ranking, lo que revela su carácter informativo.</w:t>
      </w:r>
    </w:p>
    <w:p>
      <w:pPr>
        <w:spacing w:after="200" w:line="360" w:lineRule="auto"/>
        <w:jc w:val="both"/>
      </w:pPr>
      <w:r>
        <w:rPr>
          <w:rFonts w:ascii="Times New Roman" w:cs="Times New Roman" w:eastAsia="Times New Roman" w:hAnsi="Times New Roman"/>
          <w:b/>
          <w:sz w:val="24"/>
          <w:szCs w:val="24"/>
        </w:rPr>
        <w:t xml:space="preserve">Resultados. </w:t>
      </w:r>
      <w:r>
        <w:rPr>
          <w:rFonts w:ascii="Times New Roman" w:cs="Times New Roman" w:eastAsia="Times New Roman" w:hAnsi="Times New Roman"/>
          <w:sz w:val="24"/>
          <w:szCs w:val="24"/>
        </w:rPr>
        <w:t xml:space="preserve">Bajo perturbación local de los pesos (±0.10 alrededor de la referencia, variaciones metodológicamente plausibles), el 97,7% de las simulaciones mantiene τ≥0.80, con τ medio de 0.908: el ordenamiento de comparecientes es robusto a la elección razonable de pesos. Bajo exploración del espacio completo de pesos, la concordancia desciende (15,7%), lo que revela que el canal facial es el más informativo del índice: su eliminación reordena sustancialmente el ranking (τ=0.233), mientras que los esquemas que lo conservan con peso sustancial permanecen robustos (τ&gt;0.85). Esta doble caracterización valida empíricamente tanto la inclusión del canal facial como el peso reducido del canal verbal (τ=0.705 al eliminarlo), coherente con su carácter de proxy indirecto ya capturado en los índices DIS e IEI. Los pesos 0.40/0.40/0.20 se ubican, por tanto, en la región estable del espacio de configuraciones.</w:t>
      </w:r>
    </w:p>
    <w:p>
      <w:pPr>
        <w:jc w:val="both"/>
        <w:spacing w:after="80" w:line="340"/>
      </w:pPr>
      <w:r>
        <w:rPr>
          <w:sz w:val="20"/>
          <w:szCs w:val="20"/>
          <w:i/>
          <w:color w:val="2E4057"/>
        </w:rPr>
        <w:t xml:space="preserve">Beach, M. C., et al. (2021). Testimonial Injustice: Linguistic Bias in the Medical Records of Black Patients and Women. Journal of General Internal Medicine.</w:t>
      </w:r>
    </w:p>
    <w:p>
      <w:pPr>
        <w:jc w:val="both"/>
        <w:spacing w:after="80" w:line="340"/>
      </w:pPr>
      <w:r>
        <w:rPr>
          <w:sz w:val="20"/>
          <w:szCs w:val="20"/>
          <w:i/>
          <w:color w:val="2E4057"/>
        </w:rPr>
        <w:t xml:space="preserve">Andrews, S., et al. (2023). Intersectionality and Testimonial Injustice in Medical Records. ACL Clinical NLP Workshop.</w:t>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