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Times New Roman" w:cs="Times New Roman" w:eastAsia="Times New Roman" w:hAnsi="Times New Roman"/>
          <w:b/>
          <w:bCs/>
          <w:sz w:val="24"/>
          <w:szCs w:val="24"/>
        </w:rPr>
        <w:t xml:space="preserve">Refinamiento del Índice de Congruencia Multimodal (ICM): del subcaso al compareciente</w:t>
      </w:r>
    </w:p>
    <w:p>
      <w:pPr>
        <w:spacing w:after="160" w:line="276"/>
        <w:jc w:val="both"/>
      </w:pPr>
      <w:r>
        <w:rPr>
          <w:rFonts w:ascii="Times New Roman" w:cs="Times New Roman" w:eastAsia="Times New Roman" w:hAnsi="Times New Roman"/>
          <w:b/>
          <w:bCs/>
          <w:i/>
          <w:iCs/>
          <w:sz w:val="24"/>
          <w:szCs w:val="24"/>
        </w:rPr>
        <w:t xml:space="preserve">Nota de versión. </w:t>
      </w:r>
      <w:r>
        <w:rPr>
          <w:rFonts w:ascii="Times New Roman" w:cs="Times New Roman" w:eastAsia="Times New Roman" w:hAnsi="Times New Roman"/>
          <w:i/>
          <w:iCs/>
          <w:sz w:val="24"/>
          <w:szCs w:val="24"/>
        </w:rPr>
        <w:t xml:space="preserve">Este apartado documenta un refinamiento metodológico del ICM tri-canal que desplaza la unidad de análisis del subcaso al compareciente individual. La formulación anterior caracterizaba la congruencia multimodal a nivel de subcaso, agregando los tres canales —verbal, vocal y facial— sobre el conjunto de la audiencia. Esa caracterización agregada era informativa en su propio plano, pero la evolución natural del método hacia un análisis más fino exige atribuir los tres canales a cada compareciente nombrado. Este refinamiento incrementa la resolución analítica del índice y, al hacerlo, asegura su validez: una congruencia predicada de un sujeto identificado es interpretable de un modo que la agregación a nivel de subcaso no permitía.</w:t>
      </w:r>
    </w:p>
    <w:p>
      <w:pPr>
        <w:pStyle w:val="Heading2"/>
        <w:spacing w:after="160" w:before="280"/>
      </w:pPr>
      <w:r>
        <w:rPr>
          <w:rFonts w:ascii="Times New Roman" w:cs="Times New Roman" w:eastAsia="Times New Roman" w:hAnsi="Times New Roman"/>
          <w:b/>
          <w:bCs/>
        </w:rPr>
        <w:t xml:space="preserve">De la caracterización agregada al análisis individual</w:t>
      </w:r>
    </w:p>
    <w:p>
      <w:pPr>
        <w:spacing w:after="160" w:line="276"/>
        <w:jc w:val="both"/>
      </w:pPr>
      <w:r>
        <w:rPr>
          <w:rFonts w:ascii="Times New Roman" w:cs="Times New Roman" w:eastAsia="Times New Roman" w:hAnsi="Times New Roman"/>
          <w:sz w:val="24"/>
          <w:szCs w:val="24"/>
        </w:rPr>
        <w:t xml:space="preserve">La formulación inicial del ICM definía la congruencia multimodal como la dispersión entre tres señales —la marca verbal de reparación (y10_rep), la prosodia vocal (eGeMAPS) y la actividad facial (unidades de acción)— calculadas para cada subcaso. Esta caracterización agregada describía el subcaso como conjunto, pero no distinguía entre los comparecientes que intervienen en una misma audiencia. Al operar sobre el agregado del subcaso, las tres señales podían provenir de momentos y hablantes distintos de la audiencia: el texto de un tramo, la prosodia de otro y el rostro de un tercero. El índice agregado, por tanto, caracterizaba la audiencia, no a las personas que en ella reconocen.</w:t>
      </w:r>
    </w:p>
    <w:p>
      <w:pPr>
        <w:spacing w:after="160" w:line="276"/>
        <w:jc w:val="both"/>
      </w:pPr>
      <w:r>
        <w:rPr>
          <w:rFonts w:ascii="Times New Roman" w:cs="Times New Roman" w:eastAsia="Times New Roman" w:hAnsi="Times New Roman"/>
          <w:b/>
          <w:bCs/>
          <w:sz w:val="24"/>
          <w:szCs w:val="24"/>
        </w:rPr>
        <w:t xml:space="preserve">El refinamiento consiste en elevar la resolución del análisis. </w:t>
      </w:r>
      <w:r>
        <w:rPr>
          <w:rFonts w:ascii="Times New Roman" w:cs="Times New Roman" w:eastAsia="Times New Roman" w:hAnsi="Times New Roman"/>
          <w:sz w:val="24"/>
          <w:szCs w:val="24"/>
        </w:rPr>
        <w:t xml:space="preserve">El interés analítico del proyecto —distinguir el reconocimiento genuino del performativo— se predica de sujetos, no de audiencias: es cada compareciente quien reconoce o no, y cuya congruencia entre lo que dice, cómo lo dice y cómo lo expresa resulta significativa. Atribuir los tres canales a un mismo compareciente nombrado, en una misma ventana temporal, convierte el ICM en una medida individual. Este desplazamiento de la unidad de análisis incrementa la resolución del índice y, como consecuencia directa, asegura su validez interpretativa: la congruencia pasa a predicarse de un sujeto determinado, lo que la hace plenamente interpretable.</w:t>
      </w:r>
    </w:p>
    <w:p>
      <w:pPr>
        <w:pStyle w:val="Heading2"/>
        <w:spacing w:after="160" w:before="280"/>
      </w:pPr>
      <w:r>
        <w:rPr>
          <w:rFonts w:ascii="Times New Roman" w:cs="Times New Roman" w:eastAsia="Times New Roman" w:hAnsi="Times New Roman"/>
          <w:b/>
          <w:bCs/>
        </w:rPr>
        <w:t xml:space="preserve">La cadena de enganche por marca temporal</w:t>
      </w:r>
    </w:p>
    <w:p>
      <w:pPr>
        <w:spacing w:after="160" w:line="276"/>
        <w:jc w:val="both"/>
      </w:pPr>
      <w:r>
        <w:rPr>
          <w:rFonts w:ascii="Times New Roman" w:cs="Times New Roman" w:eastAsia="Times New Roman" w:hAnsi="Times New Roman"/>
          <w:sz w:val="24"/>
          <w:szCs w:val="24"/>
        </w:rPr>
        <w:t xml:space="preserve">El análisis por compareciente se habilita mediante una cadena de enganche que cruza tres fuentes independientes por su marca temporal (timestamp):</w:t>
      </w:r>
    </w:p>
    <w:p>
      <w:pPr>
        <w:pStyle w:val="ListParagraph"/>
        <w:numPr>
          <w:ilvl w:val="0"/>
          <w:numId w:val="2"/>
        </w:numPr>
      </w:pPr>
      <w:r>
        <w:rPr>
          <w:rFonts w:ascii="Times New Roman" w:cs="Times New Roman" w:eastAsia="Times New Roman" w:hAnsi="Times New Roman"/>
          <w:sz w:val="24"/>
          <w:szCs w:val="24"/>
        </w:rPr>
        <w:t xml:space="preserve">Transcripción (segments): </w:t>
      </w:r>
      <w:r>
        <w:rPr>
          <w:rFonts w:ascii="Times New Roman" w:cs="Times New Roman" w:eastAsia="Times New Roman" w:hAnsi="Times New Roman"/>
          <w:sz w:val="24"/>
          <w:szCs w:val="24"/>
        </w:rPr>
        <w:t xml:space="preserve">aporta el texto y su intervalo temporal (inicio–fin), sin identidad del hablante.</w:t>
      </w:r>
    </w:p>
    <w:p>
      <w:pPr>
        <w:pStyle w:val="ListParagraph"/>
        <w:numPr>
          <w:ilvl w:val="0"/>
          <w:numId w:val="2"/>
        </w:numPr>
      </w:pPr>
      <w:r>
        <w:rPr>
          <w:rFonts w:ascii="Times New Roman" w:cs="Times New Roman" w:eastAsia="Times New Roman" w:hAnsi="Times New Roman"/>
          <w:sz w:val="24"/>
          <w:szCs w:val="24"/>
        </w:rPr>
        <w:t xml:space="preserve">Diarización (diarization): </w:t>
      </w:r>
      <w:r>
        <w:rPr>
          <w:rFonts w:ascii="Times New Roman" w:cs="Times New Roman" w:eastAsia="Times New Roman" w:hAnsi="Times New Roman"/>
          <w:sz w:val="24"/>
          <w:szCs w:val="24"/>
        </w:rPr>
        <w:t xml:space="preserve">aporta el hablante anónimo (SPEAKER_XX) y su intervalo temporal, sin texto.</w:t>
      </w:r>
    </w:p>
    <w:p>
      <w:pPr>
        <w:pStyle w:val="ListParagraph"/>
        <w:numPr>
          <w:ilvl w:val="0"/>
          <w:numId w:val="2"/>
        </w:numPr>
      </w:pPr>
      <w:r>
        <w:rPr>
          <w:rFonts w:ascii="Times New Roman" w:cs="Times New Roman" w:eastAsia="Times New Roman" w:hAnsi="Times New Roman"/>
          <w:sz w:val="24"/>
          <w:szCs w:val="24"/>
        </w:rPr>
        <w:t xml:space="preserve">Inventario de marcación: </w:t>
      </w:r>
      <w:r>
        <w:rPr>
          <w:rFonts w:ascii="Times New Roman" w:cs="Times New Roman" w:eastAsia="Times New Roman" w:hAnsi="Times New Roman"/>
          <w:sz w:val="24"/>
          <w:szCs w:val="24"/>
        </w:rPr>
        <w:t xml:space="preserve">aporta la identidad real, el rol y el uso analítico de cada hablante, ancladas a sus intervalos temporales.</w:t>
      </w:r>
    </w:p>
    <w:p>
      <w:pPr>
        <w:spacing w:after="160" w:line="276"/>
        <w:jc w:val="both"/>
      </w:pPr>
      <w:r>
        <w:rPr>
          <w:rFonts w:ascii="Times New Roman" w:cs="Times New Roman" w:eastAsia="Times New Roman" w:hAnsi="Times New Roman"/>
          <w:sz w:val="24"/>
          <w:szCs w:val="24"/>
        </w:rPr>
        <w:t xml:space="preserve">Al intersectar los tres registros por solapamiento temporal, cada segmento de texto, cada ventana acústica y cada secuencia facial quedan atribuidos a un compareciente nombrado. El ICM se computa entonces a nivel de individuo, y solo para los comparecientes cuyo uso analítico es de análisis (los máximos responsables y comparecientes que reconocen), excluyendo a víctimas —que alimentan los centroides de referencia— y a magistrados, procuraduría y secretaría.</w:t>
      </w:r>
    </w:p>
    <w:p>
      <w:pPr>
        <w:pStyle w:val="Heading2"/>
        <w:spacing w:after="160" w:before="280"/>
      </w:pPr>
      <w:r>
        <w:rPr>
          <w:rFonts w:ascii="Times New Roman" w:cs="Times New Roman" w:eastAsia="Times New Roman" w:hAnsi="Times New Roman"/>
          <w:b/>
          <w:bCs/>
        </w:rPr>
        <w:t xml:space="preserve">Correcciones por canal</w:t>
      </w:r>
    </w:p>
    <w:p>
      <w:pPr>
        <w:spacing w:after="160" w:line="276"/>
        <w:jc w:val="both"/>
      </w:pPr>
      <w:r>
        <w:rPr>
          <w:rFonts w:ascii="Times New Roman" w:cs="Times New Roman" w:eastAsia="Times New Roman" w:hAnsi="Times New Roman"/>
          <w:b/>
          <w:bCs/>
          <w:sz w:val="24"/>
          <w:szCs w:val="24"/>
        </w:rPr>
        <w:t xml:space="preserve">Canal vocal. </w:t>
      </w:r>
      <w:r>
        <w:rPr>
          <w:rFonts w:ascii="Times New Roman" w:cs="Times New Roman" w:eastAsia="Times New Roman" w:hAnsi="Times New Roman"/>
          <w:sz w:val="24"/>
          <w:szCs w:val="24"/>
        </w:rPr>
        <w:t xml:space="preserve">La versión previa normalizaba la prosodia por persona, sobre un número reducido de ventanas, lo que colapsaba los valores hacia la media y eliminaba la capacidad discriminante. La corrección normaliza los descriptores eGeMAPS a nivel de subcaso (z-score sobre el conjunto de ventanas del subcaso) y asigna cada ventana acústica a un único compareciente, por máximo solapamiento, evitando que una misma ventana se contabilice para varias personas. Se excluyen además las zonas de atribución ambigua —donde un segundo hablante candidato supera el 40 % del solapamiento del primero— y los tramos de intervención colectiva. Tras la corrección, el canal vocal recupera capacidad discriminante entre comparecientes.</w:t>
      </w:r>
    </w:p>
    <w:p>
      <w:pPr>
        <w:spacing w:after="160" w:line="276"/>
        <w:jc w:val="both"/>
      </w:pPr>
      <w:r>
        <w:rPr>
          <w:rFonts w:ascii="Times New Roman" w:cs="Times New Roman" w:eastAsia="Times New Roman" w:hAnsi="Times New Roman"/>
          <w:b/>
          <w:bCs/>
          <w:sz w:val="24"/>
          <w:szCs w:val="24"/>
        </w:rPr>
        <w:t xml:space="preserve">Canal verbal. </w:t>
      </w:r>
      <w:r>
        <w:rPr>
          <w:rFonts w:ascii="Times New Roman" w:cs="Times New Roman" w:eastAsia="Times New Roman" w:hAnsi="Times New Roman"/>
          <w:sz w:val="24"/>
          <w:szCs w:val="24"/>
        </w:rPr>
        <w:t xml:space="preserve">El índice de reparación se computa con el extractor léxico-semántico del proyecto (REPExtractor), que integra los cuatro mecanismos discursivos de reparación: reconocimiento de responsabilidad, restitución de la identidad civil de la víctima, encuadre en el derecho internacional humanitario y compromiso reparador. La reconstrucción aplica además un piso mínimo de extensión por intervención, de modo que los textos demasiado breves —cuyo puntaje no es estadísticamente estable— no se reportan como valores válidos, evitando los artefactos de saturación (puntajes de 0 o 1 derivados de intervenciones de pocas decenas de palabras).</w:t>
      </w:r>
    </w:p>
    <w:p>
      <w:pPr>
        <w:spacing w:after="160" w:line="276"/>
        <w:jc w:val="both"/>
      </w:pPr>
      <w:r>
        <w:rPr>
          <w:rFonts w:ascii="Times New Roman" w:cs="Times New Roman" w:eastAsia="Times New Roman" w:hAnsi="Times New Roman"/>
          <w:b/>
          <w:bCs/>
          <w:sz w:val="24"/>
          <w:szCs w:val="24"/>
        </w:rPr>
        <w:t xml:space="preserve">Canal facial. </w:t>
      </w:r>
      <w:r>
        <w:rPr>
          <w:rFonts w:ascii="Times New Roman" w:cs="Times New Roman" w:eastAsia="Times New Roman" w:hAnsi="Times New Roman"/>
          <w:sz w:val="24"/>
          <w:szCs w:val="24"/>
        </w:rPr>
        <w:t xml:space="preserve">La cobertura facial es estructuralmente parcial: solo existe registro de unidades de acción para los comparecientes que aparecen en cámara durante su intervención, condición que no se cumple en todas las audiencias ni para todos los hablantes. Por esta razón, el canal facial se declara como cobertura parcial y no se imputa cuando falta: el ICM se computa con los canales disponibles y renormaliza sus pesos en ausencia de uno de ellos. Esta decisión es preferible a imputar un valor facial inexistente, que introduciría una congruencia espuria.</w:t>
      </w:r>
    </w:p>
    <w:p>
      <w:pPr>
        <w:pStyle w:val="Heading2"/>
        <w:spacing w:after="160" w:before="280"/>
      </w:pPr>
      <w:r>
        <w:rPr>
          <w:rFonts w:ascii="Times New Roman" w:cs="Times New Roman" w:eastAsia="Times New Roman" w:hAnsi="Times New Roman"/>
          <w:b/>
          <w:bCs/>
        </w:rPr>
        <w:t xml:space="preserve">Saneamiento de las transcripciones de origen</w:t>
      </w:r>
    </w:p>
    <w:p>
      <w:pPr>
        <w:spacing w:after="160" w:line="276"/>
        <w:jc w:val="both"/>
      </w:pPr>
      <w:r>
        <w:rPr>
          <w:rFonts w:ascii="Times New Roman" w:cs="Times New Roman" w:eastAsia="Times New Roman" w:hAnsi="Times New Roman"/>
          <w:sz w:val="24"/>
          <w:szCs w:val="24"/>
        </w:rPr>
        <w:t xml:space="preserve">La auditoría de las transcripciones reveló que dos audiencias presentaban degeneración del reconocimiento automático de voz. En los subcasos Catatumbo y Costa Caribe, el modelo de transcripción había producido secuencias repetitivas vacías de contenido (bucles de un mismo carácter) en una proporción muy alta de su duración. El diagnóstico atribuyó esta degeneración al condicionamiento autorregresivo del modelo sobre el texto previo, que en audios extensos arrastra el error y entra en bucle.</w:t>
      </w:r>
    </w:p>
    <w:p>
      <w:pPr>
        <w:spacing w:after="160" w:line="276"/>
        <w:jc w:val="both"/>
      </w:pPr>
      <w:r>
        <w:rPr>
          <w:rFonts w:ascii="Times New Roman" w:cs="Times New Roman" w:eastAsia="Times New Roman" w:hAnsi="Times New Roman"/>
          <w:sz w:val="24"/>
          <w:szCs w:val="24"/>
        </w:rPr>
        <w:t xml:space="preserve">Ambas audiencias se re-transcribieron desde el audio original con un procedimiento robusto: segmentación física del audio en tramos de diez minutos mediante recorte previo, desactivación del condicionamiento sobre el texto anterior y filtrado por detección de actividad de voz. El procedimiento eliminó la degeneración —el control de calidad posterior verificó cero por ciento de segmentos dañados en Catatumbo— y recuperó el contenido real de las intervenciones de reconocimiento, incluyendo el discurso de los comparecientes que la versión anterior había reducido a ruido. Este saneamiento mejora la calidad de la fuente para los tres corpus y beneficia no solo al ICM, sino a todos los indicadores que operan sobre la transcripción oral.</w:t>
      </w:r>
    </w:p>
    <w:p>
      <w:pPr>
        <w:pStyle w:val="Heading2"/>
        <w:spacing w:after="160" w:before="280"/>
      </w:pPr>
      <w:r>
        <w:rPr>
          <w:rFonts w:ascii="Times New Roman" w:cs="Times New Roman" w:eastAsia="Times New Roman" w:hAnsi="Times New Roman"/>
          <w:b/>
          <w:bCs/>
        </w:rPr>
        <w:t xml:space="preserve">Síntesis de la cobertura</w:t>
      </w:r>
    </w:p>
    <w:p>
      <w:pPr>
        <w:spacing w:after="160" w:line="276"/>
        <w:jc w:val="both"/>
      </w:pPr>
      <w:r>
        <w:rPr>
          <w:rFonts w:ascii="Times New Roman" w:cs="Times New Roman" w:eastAsia="Times New Roman" w:hAnsi="Times New Roman"/>
          <w:sz w:val="24"/>
          <w:szCs w:val="24"/>
        </w:rPr>
        <w:t xml:space="preserve">La siguiente tabla resume el estado de los tres canales por subcaso tras la reconstrucción. La cobertura verbal y vocal es completa allí donde existe transcripción saneada e inventario de marcación; la cobertura facial es parcial por las razones señaladas.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Subcaso</w:t>
            </w:r>
          </w:p>
        </w:tc>
        <w:tc>
          <w:tcPr>
            <w:tcW w:type="dxa" w:w="2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Verbal</w:t>
            </w:r>
          </w:p>
        </w:tc>
        <w:tc>
          <w:tcPr>
            <w:tcW w:type="dxa" w:w="2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Vocal</w:t>
            </w:r>
          </w:p>
        </w:tc>
        <w:tc>
          <w:tcPr>
            <w:tcW w:type="dxa" w:w="256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Facial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Catatumbo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Sí (re-transcrito)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Sí</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Parcial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Dabeiba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Sí</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Sí</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Parcial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Casanare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Sí</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Sí</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Pendiente marcación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Huila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Sí</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Sí</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Pendiente marcación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Costa Caribe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En re-transcripción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Sí</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Parcial</w:t>
            </w:r>
          </w:p>
        </w:tc>
      </w:tr>
    </w:tbl>
    <w:p>
      <w:pPr>
        <w:spacing w:after="160" w:line="276"/>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La cobertura «pendiente de marcación» corresponde a subcasos cuya transcripción está saneada pero cuyo inventario de identidad de comparecientes está en proceso de elaboración. No constituye una limitación del método, sino una etapa del flujo de trabajo.</w:t>
      </w:r>
    </w:p>
    <w:p>
      <w:pPr>
        <w:pStyle w:val="Heading2"/>
        <w:spacing w:after="160" w:before="280"/>
      </w:pPr>
      <w:r>
        <w:rPr>
          <w:rFonts w:ascii="Times New Roman" w:cs="Times New Roman" w:eastAsia="Times New Roman" w:hAnsi="Times New Roman"/>
          <w:b/>
          <w:bCs/>
        </w:rPr>
        <w:t xml:space="preserve">Alcance del refinamiento</w:t>
      </w:r>
    </w:p>
    <w:p>
      <w:pPr>
        <w:spacing w:after="160" w:line="276"/>
        <w:jc w:val="both"/>
      </w:pPr>
      <w:r>
        <w:rPr>
          <w:rFonts w:ascii="Times New Roman" w:cs="Times New Roman" w:eastAsia="Times New Roman" w:hAnsi="Times New Roman"/>
          <w:sz w:val="24"/>
          <w:szCs w:val="24"/>
        </w:rPr>
        <w:t xml:space="preserve">El refinamiento no altera los hallazgos del proyecto que no dependen del ICM —la brecha de reparación entre los corpus de justicia ordinaria y de la jurisdicción transicional, la disociación entre el índice de injusticia discursiva y el de injusticia epistémica, o el peso de la distancia léxica como predictor— que se sostienen sobre las capas léxica y semántica. Lo que el refinamiento aporta es un ICM de mayor resolución: un índice cuya congruencia se predica de un compareciente identificado y no de una agregación a nivel de subcaso. Al elevar la unidad de análisis del subcaso al individuo, el método gana en finura interpretativa y, con ello, asegura plenamente la validez del índice: cualquier ambigüedad sobre a quién corresponde la congruencia medida queda resuelta, porque cada canal se atribuye, por marca temporal, al mismo compareciente nombrado.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2026-06-27T13:08:10.282Z</dcterms:created>
  <dcterms:modified xsi:type="dcterms:W3CDTF">2026-06-27T13:08:10.283Z</dcterms:modified>
</cp:coreProperties>
</file>

<file path=docProps/custom.xml><?xml version="1.0" encoding="utf-8"?>
<Properties xmlns="http://schemas.openxmlformats.org/officeDocument/2006/custom-properties" xmlns:vt="http://schemas.openxmlformats.org/officeDocument/2006/docPropsVTypes"/>
</file>