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B671" w14:textId="761EDE01" w:rsidR="00544089" w:rsidRPr="00544089" w:rsidRDefault="0073521C" w:rsidP="00544089">
      <w:pPr>
        <w:jc w:val="both"/>
        <w:rPr>
          <w:rFonts w:ascii="Courier New" w:hAnsi="Courier New" w:cs="Courier New"/>
          <w:sz w:val="24"/>
          <w:szCs w:val="24"/>
          <w:lang w:eastAsia="es-NI"/>
        </w:rPr>
      </w:pPr>
      <w:r>
        <w:rPr>
          <w:rFonts w:ascii="Courier New" w:hAnsi="Courier New" w:cs="Courier New"/>
          <w:sz w:val="24"/>
          <w:szCs w:val="24"/>
          <w:lang w:eastAsia="es-NI"/>
        </w:rPr>
        <w:t>E</w:t>
      </w:r>
      <w:r w:rsidR="00544089" w:rsidRPr="00544089">
        <w:rPr>
          <w:rFonts w:ascii="Courier New" w:hAnsi="Courier New" w:cs="Courier New"/>
          <w:sz w:val="24"/>
          <w:szCs w:val="24"/>
          <w:lang w:eastAsia="es-NI"/>
        </w:rPr>
        <w:t xml:space="preserve">l tipo de evaluación a implementar en </w:t>
      </w:r>
      <w:r w:rsidR="00544089">
        <w:rPr>
          <w:rFonts w:ascii="Courier New" w:hAnsi="Courier New" w:cs="Courier New"/>
          <w:sz w:val="24"/>
          <w:szCs w:val="24"/>
          <w:lang w:eastAsia="es-NI"/>
        </w:rPr>
        <w:t>el</w:t>
      </w:r>
      <w:r w:rsidR="00544089" w:rsidRPr="00544089">
        <w:rPr>
          <w:rFonts w:ascii="Courier New" w:hAnsi="Courier New" w:cs="Courier New"/>
          <w:sz w:val="24"/>
          <w:szCs w:val="24"/>
          <w:lang w:eastAsia="es-NI"/>
        </w:rPr>
        <w:t xml:space="preserve"> videojuego</w:t>
      </w:r>
      <w:r w:rsidR="00544089">
        <w:rPr>
          <w:rFonts w:ascii="Courier New" w:hAnsi="Courier New" w:cs="Courier New"/>
          <w:sz w:val="24"/>
          <w:szCs w:val="24"/>
          <w:lang w:eastAsia="es-NI"/>
        </w:rPr>
        <w:t xml:space="preserve"> </w:t>
      </w:r>
      <w:proofErr w:type="spellStart"/>
      <w:r w:rsidR="00544089">
        <w:rPr>
          <w:rFonts w:ascii="Courier New" w:hAnsi="Courier New" w:cs="Courier New"/>
          <w:sz w:val="24"/>
          <w:szCs w:val="24"/>
          <w:lang w:eastAsia="es-NI"/>
        </w:rPr>
        <w:t>AnalisApp</w:t>
      </w:r>
      <w:proofErr w:type="spellEnd"/>
      <w:r w:rsidR="00544089" w:rsidRPr="00544089">
        <w:rPr>
          <w:rFonts w:ascii="Courier New" w:hAnsi="Courier New" w:cs="Courier New"/>
          <w:sz w:val="24"/>
          <w:szCs w:val="24"/>
          <w:lang w:eastAsia="es-NI"/>
        </w:rPr>
        <w:t xml:space="preserve"> sobre comprensión lectora</w:t>
      </w:r>
      <w:r w:rsidR="00F958D5">
        <w:rPr>
          <w:rFonts w:ascii="Courier New" w:hAnsi="Courier New" w:cs="Courier New"/>
          <w:sz w:val="24"/>
          <w:szCs w:val="24"/>
          <w:lang w:eastAsia="es-NI"/>
        </w:rPr>
        <w:t xml:space="preserve"> es </w:t>
      </w:r>
    </w:p>
    <w:p w14:paraId="170ECDF1" w14:textId="77777777" w:rsidR="00544089" w:rsidRPr="00544089"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Evaluación Formativa: Esta evaluación se centra en monitorear el progreso de los estudiantes durante el proceso de aprendizaje. En un videojuego de comprensión lectora, la evaluación formativa podría incluir preguntas integradas en el juego que midan la comprensión de textos, la velocidad de lectura, la retención de información, entre otros aspectos.</w:t>
      </w:r>
    </w:p>
    <w:p w14:paraId="2DFF5591" w14:textId="572209C3" w:rsidR="00544089" w:rsidRDefault="00F958D5" w:rsidP="00544089">
      <w:pPr>
        <w:jc w:val="both"/>
        <w:rPr>
          <w:rFonts w:ascii="Courier New" w:hAnsi="Courier New" w:cs="Courier New"/>
          <w:sz w:val="24"/>
          <w:szCs w:val="24"/>
          <w:lang w:eastAsia="es-NI"/>
        </w:rPr>
      </w:pPr>
      <w:r>
        <w:rPr>
          <w:rFonts w:ascii="Courier New" w:hAnsi="Courier New" w:cs="Courier New"/>
          <w:sz w:val="24"/>
          <w:szCs w:val="24"/>
          <w:lang w:eastAsia="es-NI"/>
        </w:rPr>
        <w:t>L</w:t>
      </w:r>
      <w:r w:rsidRPr="00F958D5">
        <w:rPr>
          <w:rFonts w:ascii="Courier New" w:hAnsi="Courier New" w:cs="Courier New"/>
          <w:sz w:val="24"/>
          <w:szCs w:val="24"/>
          <w:lang w:eastAsia="es-NI"/>
        </w:rPr>
        <w:t>a evaluación formativa</w:t>
      </w:r>
      <w:r w:rsidR="00B217A5">
        <w:rPr>
          <w:rFonts w:ascii="Courier New" w:hAnsi="Courier New" w:cs="Courier New"/>
          <w:sz w:val="24"/>
          <w:szCs w:val="24"/>
          <w:lang w:eastAsia="es-NI"/>
        </w:rPr>
        <w:t xml:space="preserve"> según</w:t>
      </w:r>
      <w:sdt>
        <w:sdtPr>
          <w:rPr>
            <w:rFonts w:ascii="Courier New" w:hAnsi="Courier New" w:cs="Courier New"/>
            <w:sz w:val="24"/>
            <w:szCs w:val="24"/>
            <w:lang w:eastAsia="es-NI"/>
          </w:rPr>
          <w:id w:val="-1235551053"/>
          <w:citation/>
        </w:sdtPr>
        <w:sdtContent>
          <w:r>
            <w:rPr>
              <w:rFonts w:ascii="Courier New" w:hAnsi="Courier New" w:cs="Courier New"/>
              <w:sz w:val="24"/>
              <w:szCs w:val="24"/>
              <w:lang w:eastAsia="es-NI"/>
            </w:rPr>
            <w:fldChar w:fldCharType="begin"/>
          </w:r>
          <w:r>
            <w:rPr>
              <w:rFonts w:ascii="Courier New" w:hAnsi="Courier New" w:cs="Courier New"/>
              <w:sz w:val="24"/>
              <w:szCs w:val="24"/>
              <w:lang w:val="es-ES" w:eastAsia="es-NI"/>
            </w:rPr>
            <w:instrText xml:space="preserve"> CITATION Tib22 \l 3082 </w:instrText>
          </w:r>
          <w:r>
            <w:rPr>
              <w:rFonts w:ascii="Courier New" w:hAnsi="Courier New" w:cs="Courier New"/>
              <w:sz w:val="24"/>
              <w:szCs w:val="24"/>
              <w:lang w:eastAsia="es-NI"/>
            </w:rPr>
            <w:fldChar w:fldCharType="separate"/>
          </w:r>
          <w:r>
            <w:rPr>
              <w:rFonts w:ascii="Courier New" w:hAnsi="Courier New" w:cs="Courier New"/>
              <w:noProof/>
              <w:sz w:val="24"/>
              <w:szCs w:val="24"/>
              <w:lang w:val="es-ES" w:eastAsia="es-NI"/>
            </w:rPr>
            <w:t xml:space="preserve"> </w:t>
          </w:r>
          <w:r w:rsidRPr="00F958D5">
            <w:rPr>
              <w:rFonts w:ascii="Courier New" w:hAnsi="Courier New" w:cs="Courier New"/>
              <w:noProof/>
              <w:sz w:val="24"/>
              <w:szCs w:val="24"/>
              <w:lang w:val="es-ES" w:eastAsia="es-NI"/>
            </w:rPr>
            <w:t>(Tiburcio Moreno Olivos, 2022)</w:t>
          </w:r>
          <w:r>
            <w:rPr>
              <w:rFonts w:ascii="Courier New" w:hAnsi="Courier New" w:cs="Courier New"/>
              <w:sz w:val="24"/>
              <w:szCs w:val="24"/>
              <w:lang w:eastAsia="es-NI"/>
            </w:rPr>
            <w:fldChar w:fldCharType="end"/>
          </w:r>
        </w:sdtContent>
      </w:sdt>
      <w:r w:rsidRPr="00F958D5">
        <w:rPr>
          <w:rFonts w:ascii="Courier New" w:hAnsi="Courier New" w:cs="Courier New"/>
          <w:sz w:val="24"/>
          <w:szCs w:val="24"/>
          <w:lang w:eastAsia="es-NI"/>
        </w:rPr>
        <w:t xml:space="preserve"> “abarca todas aquellas actividades realizadas por los profesores, y/o por sus estudiantes, que proporciona información que puede ser usada como retroalimentación para modificar las actividades de enseñanza y aprendizaje en las que ellos están comprometidos”.</w:t>
      </w:r>
    </w:p>
    <w:p w14:paraId="02B665A6" w14:textId="56E4539A" w:rsidR="00B217A5" w:rsidRDefault="00B217A5" w:rsidP="00544089">
      <w:pPr>
        <w:jc w:val="both"/>
        <w:rPr>
          <w:rFonts w:ascii="Courier New" w:hAnsi="Courier New" w:cs="Courier New"/>
          <w:sz w:val="24"/>
          <w:szCs w:val="24"/>
          <w:lang w:eastAsia="es-NI"/>
        </w:rPr>
      </w:pPr>
      <w:r>
        <w:rPr>
          <w:rFonts w:ascii="Courier New" w:hAnsi="Courier New" w:cs="Courier New"/>
          <w:sz w:val="24"/>
          <w:szCs w:val="24"/>
          <w:lang w:eastAsia="es-NI"/>
        </w:rPr>
        <w:t xml:space="preserve">Según </w:t>
      </w:r>
      <w:sdt>
        <w:sdtPr>
          <w:rPr>
            <w:rFonts w:ascii="Courier New" w:hAnsi="Courier New" w:cs="Courier New"/>
            <w:sz w:val="24"/>
            <w:szCs w:val="24"/>
            <w:lang w:eastAsia="es-NI"/>
          </w:rPr>
          <w:id w:val="-1100027163"/>
          <w:citation/>
        </w:sdtPr>
        <w:sdtContent>
          <w:r>
            <w:rPr>
              <w:rFonts w:ascii="Courier New" w:hAnsi="Courier New" w:cs="Courier New"/>
              <w:sz w:val="24"/>
              <w:szCs w:val="24"/>
              <w:lang w:eastAsia="es-NI"/>
            </w:rPr>
            <w:fldChar w:fldCharType="begin"/>
          </w:r>
          <w:r w:rsidRPr="00B217A5">
            <w:rPr>
              <w:rFonts w:ascii="Courier New" w:hAnsi="Courier New" w:cs="Courier New"/>
              <w:sz w:val="24"/>
              <w:szCs w:val="24"/>
              <w:lang w:eastAsia="es-NI"/>
            </w:rPr>
            <w:instrText xml:space="preserve"> CITATION Rol23 \l 3082 </w:instrText>
          </w:r>
          <w:r>
            <w:rPr>
              <w:rFonts w:ascii="Courier New" w:hAnsi="Courier New" w:cs="Courier New"/>
              <w:sz w:val="24"/>
              <w:szCs w:val="24"/>
              <w:lang w:eastAsia="es-NI"/>
            </w:rPr>
            <w:fldChar w:fldCharType="separate"/>
          </w:r>
          <w:r w:rsidRPr="00B217A5">
            <w:rPr>
              <w:rFonts w:ascii="Courier New" w:hAnsi="Courier New" w:cs="Courier New"/>
              <w:sz w:val="24"/>
              <w:szCs w:val="24"/>
              <w:lang w:eastAsia="es-NI"/>
            </w:rPr>
            <w:t>(Reyes, 2023)</w:t>
          </w:r>
          <w:r>
            <w:rPr>
              <w:rFonts w:ascii="Courier New" w:hAnsi="Courier New" w:cs="Courier New"/>
              <w:sz w:val="24"/>
              <w:szCs w:val="24"/>
              <w:lang w:eastAsia="es-NI"/>
            </w:rPr>
            <w:fldChar w:fldCharType="end"/>
          </w:r>
        </w:sdtContent>
      </w:sdt>
      <w:r>
        <w:rPr>
          <w:rFonts w:ascii="Courier New" w:hAnsi="Courier New" w:cs="Courier New"/>
          <w:sz w:val="24"/>
          <w:szCs w:val="24"/>
          <w:lang w:eastAsia="es-NI"/>
        </w:rPr>
        <w:t>”</w:t>
      </w:r>
      <w:r w:rsidRPr="00B217A5">
        <w:rPr>
          <w:rFonts w:ascii="Courier New" w:hAnsi="Courier New" w:cs="Courier New"/>
          <w:sz w:val="24"/>
          <w:szCs w:val="24"/>
          <w:lang w:eastAsia="es-NI"/>
        </w:rPr>
        <w:t xml:space="preserve"> </w:t>
      </w:r>
      <w:r w:rsidRPr="00B217A5">
        <w:rPr>
          <w:rFonts w:ascii="Courier New" w:hAnsi="Courier New" w:cs="Courier New"/>
          <w:sz w:val="24"/>
          <w:szCs w:val="24"/>
          <w:lang w:eastAsia="es-NI"/>
        </w:rPr>
        <w:t>La evaluación formativa desempeña un papel fundamental en la evaluación por competencias. Proporciona retroalimentación continua a los estudiantes sobre su progreso y los ayuda a identificar áreas de mejora. Los docentes pueden utilizar estrategias como la revisión de trabajos, las discusiones en clase, las autoevaluaciones y las coevaluaciones para brindar retroalimentación constructiva y promover el aprendizaje continuo.</w:t>
      </w:r>
    </w:p>
    <w:p w14:paraId="343FD554" w14:textId="77777777" w:rsidR="009A577E" w:rsidRDefault="00544089" w:rsidP="00544089">
      <w:pPr>
        <w:jc w:val="both"/>
        <w:rPr>
          <w:rFonts w:ascii="Courier New" w:hAnsi="Courier New" w:cs="Courier New"/>
          <w:sz w:val="24"/>
          <w:szCs w:val="24"/>
          <w:lang w:eastAsia="es-NI"/>
        </w:rPr>
      </w:pPr>
      <w:r w:rsidRPr="00544089">
        <w:rPr>
          <w:rFonts w:ascii="Courier New" w:hAnsi="Courier New" w:cs="Courier New"/>
          <w:sz w:val="24"/>
          <w:szCs w:val="24"/>
          <w:lang w:eastAsia="es-NI"/>
        </w:rPr>
        <w:t>En cuanto al momento de aplicación de la evaluación en el videojuego,</w:t>
      </w:r>
      <w:r w:rsidR="009A577E">
        <w:rPr>
          <w:rFonts w:ascii="Courier New" w:hAnsi="Courier New" w:cs="Courier New"/>
          <w:sz w:val="24"/>
          <w:szCs w:val="24"/>
          <w:lang w:eastAsia="es-NI"/>
        </w:rPr>
        <w:t xml:space="preserve"> se </w:t>
      </w:r>
      <w:r w:rsidRPr="00544089">
        <w:rPr>
          <w:rFonts w:ascii="Courier New" w:hAnsi="Courier New" w:cs="Courier New"/>
          <w:sz w:val="24"/>
          <w:szCs w:val="24"/>
          <w:lang w:eastAsia="es-NI"/>
        </w:rPr>
        <w:t>considera</w:t>
      </w:r>
      <w:r w:rsidR="009A577E">
        <w:rPr>
          <w:rFonts w:ascii="Courier New" w:hAnsi="Courier New" w:cs="Courier New"/>
          <w:sz w:val="24"/>
          <w:szCs w:val="24"/>
          <w:lang w:eastAsia="es-NI"/>
        </w:rPr>
        <w:t xml:space="preserve"> el</w:t>
      </w:r>
      <w:r w:rsidRPr="00544089">
        <w:rPr>
          <w:rFonts w:ascii="Courier New" w:hAnsi="Courier New" w:cs="Courier New"/>
          <w:sz w:val="24"/>
          <w:szCs w:val="24"/>
          <w:lang w:eastAsia="es-NI"/>
        </w:rPr>
        <w:t xml:space="preserve"> enfoque</w:t>
      </w:r>
      <w:r w:rsidR="009A577E">
        <w:rPr>
          <w:rFonts w:ascii="Courier New" w:hAnsi="Courier New" w:cs="Courier New"/>
          <w:sz w:val="24"/>
          <w:szCs w:val="24"/>
          <w:lang w:eastAsia="es-NI"/>
        </w:rPr>
        <w:t xml:space="preserve"> de:</w:t>
      </w:r>
    </w:p>
    <w:p w14:paraId="21818A89" w14:textId="53EF98B0" w:rsidR="00544089" w:rsidRDefault="009A577E" w:rsidP="00544089">
      <w:pPr>
        <w:jc w:val="both"/>
        <w:rPr>
          <w:rFonts w:ascii="Courier New" w:hAnsi="Courier New" w:cs="Courier New"/>
          <w:sz w:val="24"/>
          <w:szCs w:val="24"/>
          <w:lang w:eastAsia="es-NI"/>
        </w:rPr>
      </w:pPr>
      <w:r>
        <w:rPr>
          <w:rFonts w:ascii="Courier New" w:hAnsi="Courier New" w:cs="Courier New"/>
          <w:sz w:val="24"/>
          <w:szCs w:val="24"/>
          <w:lang w:eastAsia="es-NI"/>
        </w:rPr>
        <w:t xml:space="preserve">Evaluación continua: </w:t>
      </w:r>
      <w:r w:rsidR="00544089" w:rsidRPr="00544089">
        <w:rPr>
          <w:rFonts w:ascii="Courier New" w:hAnsi="Courier New" w:cs="Courier New"/>
          <w:sz w:val="24"/>
          <w:szCs w:val="24"/>
          <w:lang w:eastAsia="es-NI"/>
        </w:rPr>
        <w:t>Esta modalidad implica la evaluación constante a lo largo del juego, donde se van recopilando datos sobre el desempeño del jugador de manera continua. Esto permite ajustar el nivel de dificultad, ofrecer retroalimentación inmediata y adaptar el contenido según las necesidades del jugador.</w:t>
      </w:r>
    </w:p>
    <w:p w14:paraId="0992E5F8" w14:textId="46E801F5" w:rsidR="009A577E" w:rsidRPr="009A577E" w:rsidRDefault="009A577E" w:rsidP="00544089">
      <w:pPr>
        <w:jc w:val="both"/>
        <w:rPr>
          <w:rFonts w:ascii="Courier New" w:hAnsi="Courier New" w:cs="Courier New"/>
          <w:b/>
          <w:bCs/>
          <w:sz w:val="24"/>
          <w:szCs w:val="24"/>
        </w:rPr>
      </w:pPr>
      <w:r w:rsidRPr="009A577E">
        <w:rPr>
          <w:rFonts w:ascii="Courier New" w:hAnsi="Courier New" w:cs="Courier New"/>
          <w:b/>
          <w:bCs/>
          <w:sz w:val="24"/>
          <w:szCs w:val="24"/>
        </w:rPr>
        <w:t xml:space="preserve">En el </w:t>
      </w:r>
      <w:proofErr w:type="spellStart"/>
      <w:r w:rsidRPr="009A577E">
        <w:rPr>
          <w:rFonts w:ascii="Courier New" w:hAnsi="Courier New" w:cs="Courier New"/>
          <w:b/>
          <w:bCs/>
          <w:sz w:val="24"/>
          <w:szCs w:val="24"/>
        </w:rPr>
        <w:t>vídeojuego</w:t>
      </w:r>
      <w:proofErr w:type="spellEnd"/>
      <w:r w:rsidRPr="009A577E">
        <w:rPr>
          <w:rFonts w:ascii="Courier New" w:hAnsi="Courier New" w:cs="Courier New"/>
          <w:b/>
          <w:bCs/>
          <w:sz w:val="24"/>
          <w:szCs w:val="24"/>
        </w:rPr>
        <w:t xml:space="preserve"> </w:t>
      </w:r>
      <w:proofErr w:type="spellStart"/>
      <w:r w:rsidRPr="009A577E">
        <w:rPr>
          <w:rFonts w:ascii="Courier New" w:hAnsi="Courier New" w:cs="Courier New"/>
          <w:b/>
          <w:bCs/>
          <w:sz w:val="24"/>
          <w:szCs w:val="24"/>
        </w:rPr>
        <w:t>AnalisApp</w:t>
      </w:r>
      <w:proofErr w:type="spellEnd"/>
      <w:r w:rsidRPr="009A577E">
        <w:rPr>
          <w:rFonts w:ascii="Courier New" w:hAnsi="Courier New" w:cs="Courier New"/>
          <w:b/>
          <w:bCs/>
          <w:sz w:val="24"/>
          <w:szCs w:val="24"/>
        </w:rPr>
        <w:t xml:space="preserve"> la forma de implementar la evaluación formativa será con diversas actividades interactivas y lúdicas para la comprensión lectora tales como: </w:t>
      </w:r>
    </w:p>
    <w:p w14:paraId="1C8119CD" w14:textId="77777777" w:rsidR="00E92780" w:rsidRPr="00E92780" w:rsidRDefault="00E92780" w:rsidP="00E92780">
      <w:pPr>
        <w:jc w:val="both"/>
        <w:rPr>
          <w:rFonts w:ascii="Courier New" w:hAnsi="Courier New" w:cs="Courier New"/>
          <w:b/>
          <w:bCs/>
          <w:sz w:val="24"/>
          <w:szCs w:val="24"/>
        </w:rPr>
      </w:pPr>
      <w:r w:rsidRPr="00E92780">
        <w:rPr>
          <w:rFonts w:ascii="Courier New" w:hAnsi="Courier New" w:cs="Courier New"/>
          <w:b/>
          <w:bCs/>
          <w:sz w:val="24"/>
          <w:szCs w:val="24"/>
        </w:rPr>
        <w:t>Cuestionarios</w:t>
      </w:r>
    </w:p>
    <w:p w14:paraId="1FC7867F" w14:textId="1CEF3E86" w:rsidR="00E92780" w:rsidRPr="00E92780" w:rsidRDefault="00E92780" w:rsidP="00E92780">
      <w:pPr>
        <w:jc w:val="both"/>
        <w:rPr>
          <w:rFonts w:ascii="Courier New" w:hAnsi="Courier New" w:cs="Courier New"/>
          <w:sz w:val="24"/>
          <w:szCs w:val="24"/>
        </w:rPr>
      </w:pPr>
      <w:r w:rsidRPr="00E92780">
        <w:rPr>
          <w:rFonts w:ascii="Courier New" w:hAnsi="Courier New" w:cs="Courier New"/>
          <w:sz w:val="24"/>
          <w:szCs w:val="24"/>
        </w:rPr>
        <w:t>Los cuestionarios inclu</w:t>
      </w:r>
      <w:r>
        <w:rPr>
          <w:rFonts w:ascii="Courier New" w:hAnsi="Courier New" w:cs="Courier New"/>
          <w:sz w:val="24"/>
          <w:szCs w:val="24"/>
        </w:rPr>
        <w:t>yen</w:t>
      </w:r>
      <w:r w:rsidRPr="00E92780">
        <w:rPr>
          <w:rFonts w:ascii="Courier New" w:hAnsi="Courier New" w:cs="Courier New"/>
          <w:sz w:val="24"/>
          <w:szCs w:val="24"/>
        </w:rPr>
        <w:t xml:space="preserve"> preguntas de opción múltiple, verdadero o falso, y emparejamiento, entre otros formatos, para evaluar la comprensión de los estudiantes. </w:t>
      </w:r>
    </w:p>
    <w:p w14:paraId="447F7261" w14:textId="77777777" w:rsidR="00E92780" w:rsidRPr="00E92780" w:rsidRDefault="00E92780" w:rsidP="00E92780">
      <w:pPr>
        <w:jc w:val="both"/>
        <w:rPr>
          <w:rFonts w:ascii="Courier New" w:hAnsi="Courier New" w:cs="Courier New"/>
          <w:b/>
          <w:bCs/>
          <w:sz w:val="24"/>
          <w:szCs w:val="24"/>
        </w:rPr>
      </w:pPr>
      <w:r w:rsidRPr="00E92780">
        <w:rPr>
          <w:rFonts w:ascii="Courier New" w:hAnsi="Courier New" w:cs="Courier New"/>
          <w:b/>
          <w:bCs/>
          <w:sz w:val="24"/>
          <w:szCs w:val="24"/>
        </w:rPr>
        <w:t>Crucigramas</w:t>
      </w:r>
    </w:p>
    <w:p w14:paraId="4D32575D" w14:textId="77777777" w:rsidR="00E92780" w:rsidRDefault="00E92780" w:rsidP="00E92780">
      <w:pPr>
        <w:jc w:val="both"/>
        <w:rPr>
          <w:rFonts w:ascii="Courier New" w:hAnsi="Courier New" w:cs="Courier New"/>
          <w:sz w:val="24"/>
          <w:szCs w:val="24"/>
        </w:rPr>
      </w:pPr>
      <w:r w:rsidRPr="00E92780">
        <w:rPr>
          <w:rFonts w:ascii="Courier New" w:hAnsi="Courier New" w:cs="Courier New"/>
          <w:sz w:val="24"/>
          <w:szCs w:val="24"/>
        </w:rPr>
        <w:lastRenderedPageBreak/>
        <w:t>Los crucigramas son rompecabezas que pueden usarse para evaluar el conocimiento y la comprensión de los estudiantes sobre un texto o tema.</w:t>
      </w:r>
    </w:p>
    <w:p w14:paraId="7228C759" w14:textId="29DE38B6" w:rsidR="00E92780" w:rsidRPr="00E92780" w:rsidRDefault="00E92780" w:rsidP="00E92780">
      <w:pPr>
        <w:jc w:val="both"/>
        <w:rPr>
          <w:rFonts w:ascii="Courier New" w:hAnsi="Courier New" w:cs="Courier New"/>
          <w:b/>
          <w:bCs/>
          <w:sz w:val="24"/>
          <w:szCs w:val="24"/>
        </w:rPr>
      </w:pPr>
      <w:r w:rsidRPr="00E92780">
        <w:rPr>
          <w:rFonts w:ascii="Courier New" w:hAnsi="Courier New" w:cs="Courier New"/>
          <w:b/>
          <w:bCs/>
          <w:sz w:val="24"/>
          <w:szCs w:val="24"/>
        </w:rPr>
        <w:t xml:space="preserve"> Otras actividades</w:t>
      </w:r>
    </w:p>
    <w:p w14:paraId="0947F123" w14:textId="330153A7" w:rsidR="00E92780" w:rsidRDefault="00E92780" w:rsidP="00E92780">
      <w:pPr>
        <w:jc w:val="both"/>
        <w:rPr>
          <w:rFonts w:ascii="Courier New" w:hAnsi="Courier New" w:cs="Courier New"/>
          <w:sz w:val="24"/>
          <w:szCs w:val="24"/>
        </w:rPr>
      </w:pPr>
      <w:r w:rsidRPr="00E92780">
        <w:rPr>
          <w:rFonts w:ascii="Courier New" w:hAnsi="Courier New" w:cs="Courier New"/>
          <w:sz w:val="24"/>
          <w:szCs w:val="24"/>
        </w:rPr>
        <w:t xml:space="preserve">Además de los cuestionarios y crucigramas, </w:t>
      </w:r>
      <w:proofErr w:type="spellStart"/>
      <w:r>
        <w:rPr>
          <w:rFonts w:ascii="Courier New" w:hAnsi="Courier New" w:cs="Courier New"/>
          <w:sz w:val="24"/>
          <w:szCs w:val="24"/>
        </w:rPr>
        <w:t>AnalisApp</w:t>
      </w:r>
      <w:proofErr w:type="spellEnd"/>
      <w:r w:rsidRPr="00E92780">
        <w:rPr>
          <w:rFonts w:ascii="Courier New" w:hAnsi="Courier New" w:cs="Courier New"/>
          <w:sz w:val="24"/>
          <w:szCs w:val="24"/>
        </w:rPr>
        <w:t xml:space="preserve"> ofrece otras actividades interactivas como sopas de letras, que también pueden utilizarse para la evaluación formativa de la comprensión lectora. Estas actividades interactivas y lúdicas pueden motivar a los estudiantes y fomentar su compromiso, mejorando así la calidad de la educación. </w:t>
      </w:r>
    </w:p>
    <w:p w14:paraId="51F23A11" w14:textId="56E7649F" w:rsidR="004F48A8" w:rsidRDefault="004F48A8" w:rsidP="00E92780">
      <w:pPr>
        <w:jc w:val="both"/>
        <w:rPr>
          <w:rFonts w:ascii="Courier New" w:hAnsi="Courier New" w:cs="Courier New"/>
          <w:sz w:val="24"/>
          <w:szCs w:val="24"/>
        </w:rPr>
      </w:pPr>
    </w:p>
    <w:p w14:paraId="407B57E3" w14:textId="77777777" w:rsidR="004F48A8" w:rsidRPr="00E92780" w:rsidRDefault="004F48A8" w:rsidP="00E92780">
      <w:pPr>
        <w:jc w:val="both"/>
        <w:rPr>
          <w:rFonts w:ascii="Courier New" w:hAnsi="Courier New" w:cs="Courier New"/>
          <w:sz w:val="24"/>
          <w:szCs w:val="24"/>
        </w:rPr>
      </w:pPr>
    </w:p>
    <w:sectPr w:rsidR="004F48A8" w:rsidRPr="00E927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2A739E"/>
    <w:multiLevelType w:val="multilevel"/>
    <w:tmpl w:val="75C0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0503F"/>
    <w:multiLevelType w:val="multilevel"/>
    <w:tmpl w:val="B422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C6EA2"/>
    <w:multiLevelType w:val="multilevel"/>
    <w:tmpl w:val="1B26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961878">
    <w:abstractNumId w:val="0"/>
  </w:num>
  <w:num w:numId="2" w16cid:durableId="1517184526">
    <w:abstractNumId w:val="2"/>
  </w:num>
  <w:num w:numId="3" w16cid:durableId="2126004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89"/>
    <w:rsid w:val="004F48A8"/>
    <w:rsid w:val="00544089"/>
    <w:rsid w:val="006B41A9"/>
    <w:rsid w:val="0073521C"/>
    <w:rsid w:val="009A577E"/>
    <w:rsid w:val="00AB03A6"/>
    <w:rsid w:val="00B217A5"/>
    <w:rsid w:val="00D80B55"/>
    <w:rsid w:val="00E92780"/>
    <w:rsid w:val="00F958D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331C6"/>
  <w15:chartTrackingRefBased/>
  <w15:docId w15:val="{231E62F5-BDBF-4D65-B463-D9C4EDFF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E927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5">
    <w:name w:val="heading 5"/>
    <w:basedOn w:val="Normal"/>
    <w:link w:val="Ttulo5Car"/>
    <w:uiPriority w:val="9"/>
    <w:qFormat/>
    <w:rsid w:val="00544089"/>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s-NI"/>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544089"/>
    <w:rPr>
      <w:rFonts w:ascii="Times New Roman" w:eastAsia="Times New Roman" w:hAnsi="Times New Roman" w:cs="Times New Roman"/>
      <w:b/>
      <w:bCs/>
      <w:kern w:val="0"/>
      <w:sz w:val="20"/>
      <w:szCs w:val="20"/>
      <w:lang w:eastAsia="es-NI"/>
      <w14:ligatures w14:val="none"/>
    </w:rPr>
  </w:style>
  <w:style w:type="character" w:styleId="Textoennegrita">
    <w:name w:val="Strong"/>
    <w:basedOn w:val="Fuentedeprrafopredeter"/>
    <w:uiPriority w:val="22"/>
    <w:qFormat/>
    <w:rsid w:val="00544089"/>
    <w:rPr>
      <w:b/>
      <w:bCs/>
    </w:rPr>
  </w:style>
  <w:style w:type="character" w:customStyle="1" w:styleId="Ttulo2Car">
    <w:name w:val="Título 2 Car"/>
    <w:basedOn w:val="Fuentedeprrafopredeter"/>
    <w:link w:val="Ttulo2"/>
    <w:uiPriority w:val="9"/>
    <w:semiHidden/>
    <w:rsid w:val="00E92780"/>
    <w:rPr>
      <w:rFonts w:asciiTheme="majorHAnsi" w:eastAsiaTheme="majorEastAsia" w:hAnsiTheme="majorHAnsi" w:cstheme="majorBidi"/>
      <w:color w:val="2F5496" w:themeColor="accent1" w:themeShade="BF"/>
      <w:sz w:val="26"/>
      <w:szCs w:val="26"/>
    </w:rPr>
  </w:style>
  <w:style w:type="character" w:customStyle="1" w:styleId="inline-flex">
    <w:name w:val="inline-flex"/>
    <w:basedOn w:val="Fuentedeprrafopredeter"/>
    <w:rsid w:val="00E92780"/>
  </w:style>
  <w:style w:type="character" w:styleId="Hipervnculo">
    <w:name w:val="Hyperlink"/>
    <w:basedOn w:val="Fuentedeprrafopredeter"/>
    <w:uiPriority w:val="99"/>
    <w:unhideWhenUsed/>
    <w:rsid w:val="00E927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24011">
      <w:bodyDiv w:val="1"/>
      <w:marLeft w:val="0"/>
      <w:marRight w:val="0"/>
      <w:marTop w:val="0"/>
      <w:marBottom w:val="0"/>
      <w:divBdr>
        <w:top w:val="none" w:sz="0" w:space="0" w:color="auto"/>
        <w:left w:val="none" w:sz="0" w:space="0" w:color="auto"/>
        <w:bottom w:val="none" w:sz="0" w:space="0" w:color="auto"/>
        <w:right w:val="none" w:sz="0" w:space="0" w:color="auto"/>
      </w:divBdr>
    </w:div>
    <w:div w:id="824125115">
      <w:bodyDiv w:val="1"/>
      <w:marLeft w:val="0"/>
      <w:marRight w:val="0"/>
      <w:marTop w:val="0"/>
      <w:marBottom w:val="0"/>
      <w:divBdr>
        <w:top w:val="none" w:sz="0" w:space="0" w:color="auto"/>
        <w:left w:val="none" w:sz="0" w:space="0" w:color="auto"/>
        <w:bottom w:val="none" w:sz="0" w:space="0" w:color="auto"/>
        <w:right w:val="none" w:sz="0" w:space="0" w:color="auto"/>
      </w:divBdr>
    </w:div>
    <w:div w:id="1445344887">
      <w:bodyDiv w:val="1"/>
      <w:marLeft w:val="0"/>
      <w:marRight w:val="0"/>
      <w:marTop w:val="0"/>
      <w:marBottom w:val="0"/>
      <w:divBdr>
        <w:top w:val="none" w:sz="0" w:space="0" w:color="auto"/>
        <w:left w:val="none" w:sz="0" w:space="0" w:color="auto"/>
        <w:bottom w:val="none" w:sz="0" w:space="0" w:color="auto"/>
        <w:right w:val="none" w:sz="0" w:space="0" w:color="auto"/>
      </w:divBdr>
    </w:div>
    <w:div w:id="1615210029">
      <w:bodyDiv w:val="1"/>
      <w:marLeft w:val="0"/>
      <w:marRight w:val="0"/>
      <w:marTop w:val="0"/>
      <w:marBottom w:val="0"/>
      <w:divBdr>
        <w:top w:val="none" w:sz="0" w:space="0" w:color="auto"/>
        <w:left w:val="none" w:sz="0" w:space="0" w:color="auto"/>
        <w:bottom w:val="none" w:sz="0" w:space="0" w:color="auto"/>
        <w:right w:val="none" w:sz="0" w:space="0" w:color="auto"/>
      </w:divBdr>
    </w:div>
    <w:div w:id="162557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Tib22</b:Tag>
    <b:SourceType>BookSection</b:SourceType>
    <b:Guid>{2B3D3856-2DF3-430E-BBF2-E59A54D9049D}</b:Guid>
    <b:Title>Evaluación formativa y retroalimentación del aprendizaje 2022</b:Title>
    <b:Year>2022</b:Year>
    <b:Pages>66</b:Pages>
    <b:Author>
      <b:Author>
        <b:NameList>
          <b:Person>
            <b:Last>Tiburcio Moreno Olivos</b:Last>
            <b:First>Angélica</b:First>
            <b:Middle>Ramírez Elías</b:Middle>
          </b:Person>
        </b:NameList>
      </b:Author>
    </b:Author>
    <b:City>Mexico</b:City>
    <b:Publisher>UNAM</b:Publisher>
    <b:RefOrder>1</b:RefOrder>
  </b:Source>
  <b:Source>
    <b:Tag>Rol23</b:Tag>
    <b:SourceType>InternetSite</b:SourceType>
    <b:Guid>{8C8EA98D-44E2-4F48-B6A2-911AA92141A5}</b:Guid>
    <b:Title>Evaluación por competencias en educación básica.</b:Title>
    <b:Year>2023</b:Year>
    <b:Author>
      <b:Author>
        <b:NameList>
          <b:Person>
            <b:Last>Reyes</b:Last>
            <b:First>Rolando</b:First>
            <b:Middle>Ríos</b:Middle>
          </b:Person>
        </b:NameList>
      </b:Author>
    </b:Author>
    <b:Month>julio</b:Month>
    <b:Day>7</b:Day>
    <b:URL>https://epperu.org/evaluacion-por-competencias-en-educacion-basica/</b:URL>
    <b:RefOrder>2</b:RefOrder>
  </b:Source>
</b:Sources>
</file>

<file path=customXml/itemProps1.xml><?xml version="1.0" encoding="utf-8"?>
<ds:datastoreItem xmlns:ds="http://schemas.openxmlformats.org/officeDocument/2006/customXml" ds:itemID="{DC7BF0A7-3747-4E61-B7BE-9A5BEF58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Rommell Caldera Montenegro</dc:creator>
  <cp:keywords/>
  <dc:description/>
  <cp:lastModifiedBy>José Rommell Caldera Montenegro</cp:lastModifiedBy>
  <cp:revision>3</cp:revision>
  <dcterms:created xsi:type="dcterms:W3CDTF">2024-05-07T02:05:00Z</dcterms:created>
  <dcterms:modified xsi:type="dcterms:W3CDTF">2024-05-10T04:18:00Z</dcterms:modified>
</cp:coreProperties>
</file>