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desired goals, the following steps are to be followed:</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data that will be required for the analysis.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the SQL code to create the schema, create the necessary tables with the desired characteristics, insert data into the tables, analyze the data and retrieve the desired data.</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running the code, tables showing the retrieved data will appear.</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the results (tables) as CSV files.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Microsoft Excel or Google Sheets and import the CSV files. These files contain the data that will be used for analysis.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data you imported, create pivot tables, charts and the dashboard for visualization.</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key findings and give possible solutions.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schools’ performance is directly proportional to the amount of resources that are available in the region. School A has the highest performance, then School B, then School C and School D which has the least performance.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gender with the highest population is Male whereas Female have the least population.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gender which has the highest average score is Female whereas Male has the least performance despite the high population.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Solutions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needs-based resource allocation model to provide more resources to schools with lower performance.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targeted academic interventions such as tutoring, mentorship, or specialized programs to help male students improve their academic performance.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non-academic factors that may hinder male students' performance, such as socioeconomic challenges or engagement issues.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policies and initiatives to encourage higher female enrollment and retention in schools, particularly in regions or schools where gender imbalance is prevalent.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female students with scholarships or financial aid to overcome barriers that prevent access to education.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 in building or upgrading infrastructure like classrooms, laboratories, and libraries in these regions.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digital learning tools and e-learning platforms to ensure students in remote or under-resourced areas can access quality educational materials.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Partner with local government bodies and NGOs to address resource inequalities and ensure funding is available for disadvantaged schools. Establish policies that mandate equal access to educational opportunities regardless of gender or region.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