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AF2AED1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0110B7">
        <w:rPr>
          <w:color w:val="auto"/>
          <w:sz w:val="28"/>
        </w:rPr>
        <w:t>Mirko Suvajac</w:t>
      </w:r>
      <w:r w:rsidR="0068563F" w:rsidRPr="0068563F">
        <w:rPr>
          <w:color w:val="auto"/>
          <w:sz w:val="28"/>
        </w:rPr>
        <w:br/>
        <w:t xml:space="preserve">Razred: </w:t>
      </w:r>
      <w:r w:rsidR="000110B7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2ED421A" w:rsidR="00A70C35" w:rsidRDefault="00B115E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30DAAD4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3E5F3027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4C7174B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44D581E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DE50C6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718A513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3781C0D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07CECF8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23FBE0A2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0E56CFD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C92D9FC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F82F7CA" w:rsidR="00A70C35" w:rsidRDefault="006628B4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38C17B9A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1AFA1BA" w:rsidR="00A70C35" w:rsidRDefault="00B115E5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596A94F6" w:rsidR="00A70C35" w:rsidRDefault="00F003C7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9DC5427" w:rsidR="00A70C35" w:rsidRDefault="00B115E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68E1835F" w:rsidR="00A70C35" w:rsidRDefault="00F003C7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3D0E32AD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64BAE632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495587A" w:rsidR="00A70C35" w:rsidRDefault="00B115E5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07000FC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23E29406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465560CD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11DF3B6" w:rsidR="00EE7C4C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46F8245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3468357D" w:rsidR="002F6A59" w:rsidRDefault="0028036C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251B8E5F" w:rsidR="002F6A59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EA41C83" w:rsidR="002F6A59" w:rsidRDefault="006628B4" w:rsidP="0068563F">
            <w:pPr>
              <w:jc w:val="center"/>
            </w:pPr>
            <w:r>
              <w:t>1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E6909A6" w:rsidR="002F6A59" w:rsidRDefault="006628B4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54E57D30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3007867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1CD8C804" w:rsidR="002F6A59" w:rsidRDefault="0028036C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4417B25A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5C22039B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1299">
    <w:abstractNumId w:val="2"/>
  </w:num>
  <w:num w:numId="2" w16cid:durableId="43794836">
    <w:abstractNumId w:val="1"/>
  </w:num>
  <w:num w:numId="3" w16cid:durableId="1271551427">
    <w:abstractNumId w:val="0"/>
  </w:num>
  <w:num w:numId="4" w16cid:durableId="65392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110B7"/>
    <w:rsid w:val="0021062E"/>
    <w:rsid w:val="002109F8"/>
    <w:rsid w:val="002348C1"/>
    <w:rsid w:val="00252D9E"/>
    <w:rsid w:val="0028036C"/>
    <w:rsid w:val="002F6A59"/>
    <w:rsid w:val="00364B0E"/>
    <w:rsid w:val="00405A0B"/>
    <w:rsid w:val="00591F5F"/>
    <w:rsid w:val="005C2EE9"/>
    <w:rsid w:val="006628B4"/>
    <w:rsid w:val="00663FF6"/>
    <w:rsid w:val="0068563F"/>
    <w:rsid w:val="00854287"/>
    <w:rsid w:val="009E058E"/>
    <w:rsid w:val="00A70C35"/>
    <w:rsid w:val="00AD6AA7"/>
    <w:rsid w:val="00B115E5"/>
    <w:rsid w:val="00B56B06"/>
    <w:rsid w:val="00B8223C"/>
    <w:rsid w:val="00BD4AD9"/>
    <w:rsid w:val="00D10213"/>
    <w:rsid w:val="00E4106F"/>
    <w:rsid w:val="00ED557D"/>
    <w:rsid w:val="00EE7C4C"/>
    <w:rsid w:val="00F003C7"/>
    <w:rsid w:val="00F30FE3"/>
    <w:rsid w:val="00F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mirko.suvajac@sts.sckr.si</cp:lastModifiedBy>
  <cp:revision>13</cp:revision>
  <dcterms:created xsi:type="dcterms:W3CDTF">2023-05-31T08:57:00Z</dcterms:created>
  <dcterms:modified xsi:type="dcterms:W3CDTF">2024-05-29T06:36:00Z</dcterms:modified>
</cp:coreProperties>
</file>